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65"/>
        <w:gridCol w:w="2932"/>
        <w:gridCol w:w="4747"/>
      </w:tblGrid>
      <w:tr w:rsidR="00C75ED2" w:rsidRPr="00C75ED2" w14:paraId="3193465D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0E0A47" w14:textId="77777777" w:rsidR="00C75ED2" w:rsidRPr="00C75ED2" w:rsidRDefault="00C75ED2" w:rsidP="00C75E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C75ED2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The Physical Trait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AD3B94" w14:textId="77777777" w:rsidR="00C75ED2" w:rsidRPr="00C75ED2" w:rsidRDefault="00C75ED2" w:rsidP="00C75E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C75ED2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The NT Misinterpretation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D38B49" w14:textId="77777777" w:rsidR="00C75ED2" w:rsidRPr="00C75ED2" w:rsidRDefault="00C75ED2" w:rsidP="00C75E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C75ED2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The ND Biological Reality</w:t>
            </w:r>
          </w:p>
        </w:tc>
      </w:tr>
      <w:tr w:rsidR="00C75ED2" w:rsidRPr="00C75ED2" w14:paraId="4C786FE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FF2543" w14:textId="77777777" w:rsidR="00C75ED2" w:rsidRPr="00C75ED2" w:rsidRDefault="00C75ED2" w:rsidP="00C75E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C75ED2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Fixed Gaze ("Dark Eyes")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45867B" w14:textId="77777777" w:rsidR="00C75ED2" w:rsidRPr="00C75ED2" w:rsidRDefault="00C75ED2" w:rsidP="00C75E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C75E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Hostility, anger, or "psychopathic" lack of empathy.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45025D" w14:textId="77777777" w:rsidR="00C75ED2" w:rsidRPr="00C75ED2" w:rsidRDefault="00C75ED2" w:rsidP="00C75E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C75ED2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Amygdala Overload:</w:t>
            </w:r>
            <w:r w:rsidRPr="00C75E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Deep focus requires visual stability. Moving the eyes breaks the "flow state."</w:t>
            </w:r>
          </w:p>
        </w:tc>
      </w:tr>
      <w:tr w:rsidR="00C75ED2" w:rsidRPr="00C75ED2" w14:paraId="006FE24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6A64CF" w14:textId="77777777" w:rsidR="00C75ED2" w:rsidRPr="00C75ED2" w:rsidRDefault="00C75ED2" w:rsidP="00C75E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C75ED2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Furrowed Brow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AA3C41" w14:textId="77777777" w:rsidR="00C75ED2" w:rsidRPr="00C75ED2" w:rsidRDefault="00C75ED2" w:rsidP="00C75E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C75E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Confusion or disapproval of the speaker.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D66867" w14:textId="77777777" w:rsidR="00C75ED2" w:rsidRPr="00C75ED2" w:rsidRDefault="00C75ED2" w:rsidP="00C75E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C75ED2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Muscular Effort:</w:t>
            </w:r>
            <w:r w:rsidRPr="00C75E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Physical manifestation of the "heavy lifting" happening in the prefrontal cortex.</w:t>
            </w:r>
          </w:p>
        </w:tc>
      </w:tr>
      <w:tr w:rsidR="00C75ED2" w:rsidRPr="00C75ED2" w14:paraId="51CC436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4893BC" w14:textId="77777777" w:rsidR="00C75ED2" w:rsidRPr="00C75ED2" w:rsidRDefault="00C75ED2" w:rsidP="00C75E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C75ED2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Head Tilt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587A3F" w14:textId="77777777" w:rsidR="00C75ED2" w:rsidRPr="00C75ED2" w:rsidRDefault="00C75ED2" w:rsidP="00C75E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C75E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Skepticism or "looking down" on someone.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356BE39" w14:textId="77777777" w:rsidR="00C75ED2" w:rsidRPr="00C75ED2" w:rsidRDefault="00C75ED2" w:rsidP="00C75E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C75ED2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Peripheral Processing:</w:t>
            </w:r>
            <w:r w:rsidRPr="00C75E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Many ND individuals process auditory info better when not forced into direct eye contact.</w:t>
            </w:r>
          </w:p>
        </w:tc>
      </w:tr>
    </w:tbl>
    <w:p w14:paraId="19BC07BD" w14:textId="77777777" w:rsidR="00EA2637" w:rsidRDefault="00EA2637"/>
    <w:sectPr w:rsidR="00EA263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5ED2"/>
    <w:rsid w:val="002836DF"/>
    <w:rsid w:val="008E3325"/>
    <w:rsid w:val="00C75ED2"/>
    <w:rsid w:val="00EA2637"/>
    <w:rsid w:val="00F00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02578E"/>
  <w15:chartTrackingRefBased/>
  <w15:docId w15:val="{C9DFDD5E-7CC2-8645-9517-EB6BB1DC0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5E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5E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5E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5E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5E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5E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5E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5E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5E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5E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5E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5E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5E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5E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5E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5E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5E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5E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5E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5E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5E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5E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5E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5E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5ED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5E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5E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5E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5ED2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C75ED2"/>
    <w:rPr>
      <w:b/>
      <w:bCs/>
    </w:rPr>
  </w:style>
  <w:style w:type="character" w:customStyle="1" w:styleId="apple-converted-space">
    <w:name w:val="apple-converted-space"/>
    <w:basedOn w:val="DefaultParagraphFont"/>
    <w:rsid w:val="00C75E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Sadownik</dc:creator>
  <cp:keywords/>
  <dc:description/>
  <cp:lastModifiedBy>Stephanie Sadownik</cp:lastModifiedBy>
  <cp:revision>1</cp:revision>
  <dcterms:created xsi:type="dcterms:W3CDTF">2026-01-14T03:04:00Z</dcterms:created>
  <dcterms:modified xsi:type="dcterms:W3CDTF">2026-01-14T03:04:00Z</dcterms:modified>
</cp:coreProperties>
</file>