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43"/>
        <w:gridCol w:w="3457"/>
        <w:gridCol w:w="3344"/>
      </w:tblGrid>
      <w:tr w:rsidR="000817B7" w:rsidRPr="000817B7" w14:paraId="3B035E95" w14:textId="77777777">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B4ED64F"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b/>
                <w:bCs/>
                <w:color w:val="000000"/>
                <w:kern w:val="0"/>
                <w:sz w:val="20"/>
                <w:szCs w:val="20"/>
                <w14:ligatures w14:val="none"/>
              </w:rPr>
              <w:t>Neurotypical "Deception" Cues</w:t>
            </w:r>
          </w:p>
        </w:tc>
        <w:tc>
          <w:tcPr>
            <w:tcW w:w="0" w:type="auto"/>
            <w:tcBorders>
              <w:top w:val="single" w:sz="6" w:space="0" w:color="auto"/>
              <w:left w:val="single" w:sz="6" w:space="0" w:color="auto"/>
              <w:bottom w:val="single" w:sz="6" w:space="0" w:color="auto"/>
              <w:right w:val="single" w:sz="6" w:space="0" w:color="auto"/>
            </w:tcBorders>
            <w:vAlign w:val="center"/>
            <w:hideMark/>
          </w:tcPr>
          <w:p w14:paraId="6A8049F9"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b/>
                <w:bCs/>
                <w:color w:val="000000"/>
                <w:kern w:val="0"/>
                <w:sz w:val="20"/>
                <w:szCs w:val="20"/>
                <w14:ligatures w14:val="none"/>
              </w:rPr>
              <w:t>Neurodivergent "Baseline" Traits</w:t>
            </w:r>
          </w:p>
        </w:tc>
        <w:tc>
          <w:tcPr>
            <w:tcW w:w="0" w:type="auto"/>
            <w:tcBorders>
              <w:top w:val="single" w:sz="6" w:space="0" w:color="auto"/>
              <w:left w:val="single" w:sz="6" w:space="0" w:color="auto"/>
              <w:bottom w:val="single" w:sz="6" w:space="0" w:color="auto"/>
              <w:right w:val="single" w:sz="6" w:space="0" w:color="auto"/>
            </w:tcBorders>
            <w:vAlign w:val="center"/>
            <w:hideMark/>
          </w:tcPr>
          <w:p w14:paraId="56A2B4EA"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b/>
                <w:bCs/>
                <w:color w:val="000000"/>
                <w:kern w:val="0"/>
                <w:sz w:val="20"/>
                <w:szCs w:val="20"/>
                <w14:ligatures w14:val="none"/>
              </w:rPr>
              <w:t>Result of Mismatch</w:t>
            </w:r>
          </w:p>
        </w:tc>
      </w:tr>
      <w:tr w:rsidR="000817B7" w:rsidRPr="000817B7" w14:paraId="3251A859"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B505159"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b/>
                <w:bCs/>
                <w:color w:val="000000"/>
                <w:kern w:val="0"/>
                <w:sz w:val="20"/>
                <w:szCs w:val="20"/>
                <w14:ligatures w14:val="none"/>
              </w:rPr>
              <w:t>Gaze Aversion</w:t>
            </w:r>
            <w:r w:rsidRPr="000817B7">
              <w:rPr>
                <w:rFonts w:ascii="Arial" w:eastAsia="Times New Roman" w:hAnsi="Arial" w:cs="Arial"/>
                <w:color w:val="000000"/>
                <w:kern w:val="0"/>
                <w:sz w:val="20"/>
                <w:szCs w:val="20"/>
                <w14:ligatures w14:val="none"/>
              </w:rPr>
              <w:t> (Looking away)</w:t>
            </w:r>
          </w:p>
        </w:tc>
        <w:tc>
          <w:tcPr>
            <w:tcW w:w="0" w:type="auto"/>
            <w:tcBorders>
              <w:top w:val="single" w:sz="6" w:space="0" w:color="auto"/>
              <w:left w:val="single" w:sz="6" w:space="0" w:color="auto"/>
              <w:bottom w:val="single" w:sz="6" w:space="0" w:color="auto"/>
              <w:right w:val="single" w:sz="6" w:space="0" w:color="auto"/>
            </w:tcBorders>
            <w:vAlign w:val="center"/>
            <w:hideMark/>
          </w:tcPr>
          <w:p w14:paraId="234D874B"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color w:val="000000"/>
                <w:kern w:val="0"/>
                <w:sz w:val="20"/>
                <w:szCs w:val="20"/>
                <w14:ligatures w14:val="none"/>
              </w:rPr>
              <w:t>Sensory regulation or discomfort with eye contact.</w:t>
            </w:r>
          </w:p>
        </w:tc>
        <w:tc>
          <w:tcPr>
            <w:tcW w:w="0" w:type="auto"/>
            <w:tcBorders>
              <w:top w:val="single" w:sz="6" w:space="0" w:color="auto"/>
              <w:left w:val="single" w:sz="6" w:space="0" w:color="auto"/>
              <w:bottom w:val="single" w:sz="6" w:space="0" w:color="auto"/>
              <w:right w:val="single" w:sz="6" w:space="0" w:color="auto"/>
            </w:tcBorders>
            <w:vAlign w:val="center"/>
            <w:hideMark/>
          </w:tcPr>
          <w:p w14:paraId="704C186B"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color w:val="000000"/>
                <w:kern w:val="0"/>
                <w:sz w:val="20"/>
                <w:szCs w:val="20"/>
                <w14:ligatures w14:val="none"/>
              </w:rPr>
              <w:t>Perceived as "shifty" or hiding something.</w:t>
            </w:r>
          </w:p>
        </w:tc>
      </w:tr>
      <w:tr w:rsidR="000817B7" w:rsidRPr="000817B7" w14:paraId="05985BA7"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1B43255"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b/>
                <w:bCs/>
                <w:color w:val="000000"/>
                <w:kern w:val="0"/>
                <w:sz w:val="20"/>
                <w:szCs w:val="20"/>
                <w14:ligatures w14:val="none"/>
              </w:rPr>
              <w:t>Flat Affect</w:t>
            </w:r>
            <w:r w:rsidRPr="000817B7">
              <w:rPr>
                <w:rFonts w:ascii="Arial" w:eastAsia="Times New Roman" w:hAnsi="Arial" w:cs="Arial"/>
                <w:color w:val="000000"/>
                <w:kern w:val="0"/>
                <w:sz w:val="20"/>
                <w:szCs w:val="20"/>
                <w14:ligatures w14:val="none"/>
              </w:rPr>
              <w:t> (Lack of emotion)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78FB8BBE"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color w:val="000000"/>
                <w:kern w:val="0"/>
                <w:sz w:val="20"/>
                <w:szCs w:val="20"/>
                <w14:ligatures w14:val="none"/>
              </w:rPr>
              <w:t>Standard ND expression or "Autistic Burnout."</w:t>
            </w:r>
          </w:p>
        </w:tc>
        <w:tc>
          <w:tcPr>
            <w:tcW w:w="0" w:type="auto"/>
            <w:tcBorders>
              <w:top w:val="single" w:sz="6" w:space="0" w:color="auto"/>
              <w:left w:val="single" w:sz="6" w:space="0" w:color="auto"/>
              <w:bottom w:val="single" w:sz="6" w:space="0" w:color="auto"/>
              <w:right w:val="single" w:sz="6" w:space="0" w:color="auto"/>
            </w:tcBorders>
            <w:vAlign w:val="center"/>
            <w:hideMark/>
          </w:tcPr>
          <w:p w14:paraId="652CDFF3"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color w:val="000000"/>
                <w:kern w:val="0"/>
                <w:sz w:val="20"/>
                <w:szCs w:val="20"/>
                <w14:ligatures w14:val="none"/>
              </w:rPr>
              <w:t>Perceived as "cold," "remorseless," or "sociopathic."</w:t>
            </w:r>
          </w:p>
        </w:tc>
      </w:tr>
      <w:tr w:rsidR="000817B7" w:rsidRPr="000817B7" w14:paraId="5129F34B"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4100B823"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b/>
                <w:bCs/>
                <w:color w:val="000000"/>
                <w:kern w:val="0"/>
                <w:sz w:val="20"/>
                <w:szCs w:val="20"/>
                <w14:ligatures w14:val="none"/>
              </w:rPr>
              <w:t>Long Pauses</w:t>
            </w:r>
          </w:p>
        </w:tc>
        <w:tc>
          <w:tcPr>
            <w:tcW w:w="0" w:type="auto"/>
            <w:tcBorders>
              <w:top w:val="single" w:sz="6" w:space="0" w:color="auto"/>
              <w:left w:val="single" w:sz="6" w:space="0" w:color="auto"/>
              <w:bottom w:val="single" w:sz="6" w:space="0" w:color="auto"/>
              <w:right w:val="single" w:sz="6" w:space="0" w:color="auto"/>
            </w:tcBorders>
            <w:vAlign w:val="center"/>
            <w:hideMark/>
          </w:tcPr>
          <w:p w14:paraId="53A4DF78"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color w:val="000000"/>
                <w:kern w:val="0"/>
                <w:sz w:val="20"/>
                <w:szCs w:val="20"/>
                <w14:ligatures w14:val="none"/>
              </w:rPr>
              <w:t>Extended processing time for complex questions.</w:t>
            </w:r>
          </w:p>
        </w:tc>
        <w:tc>
          <w:tcPr>
            <w:tcW w:w="0" w:type="auto"/>
            <w:tcBorders>
              <w:top w:val="single" w:sz="6" w:space="0" w:color="auto"/>
              <w:left w:val="single" w:sz="6" w:space="0" w:color="auto"/>
              <w:bottom w:val="single" w:sz="6" w:space="0" w:color="auto"/>
              <w:right w:val="single" w:sz="6" w:space="0" w:color="auto"/>
            </w:tcBorders>
            <w:vAlign w:val="center"/>
            <w:hideMark/>
          </w:tcPr>
          <w:p w14:paraId="771DE6BE"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color w:val="000000"/>
                <w:kern w:val="0"/>
                <w:sz w:val="20"/>
                <w:szCs w:val="20"/>
                <w14:ligatures w14:val="none"/>
              </w:rPr>
              <w:t>Perceived as "calculating" a lie.</w:t>
            </w:r>
          </w:p>
        </w:tc>
      </w:tr>
      <w:tr w:rsidR="000817B7" w:rsidRPr="000817B7" w14:paraId="60F91319" w14:textId="77777777">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1677038"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b/>
                <w:bCs/>
                <w:color w:val="000000"/>
                <w:kern w:val="0"/>
                <w:sz w:val="20"/>
                <w:szCs w:val="20"/>
                <w14:ligatures w14:val="none"/>
              </w:rPr>
              <w:t>Inconsistency</w:t>
            </w:r>
          </w:p>
        </w:tc>
        <w:tc>
          <w:tcPr>
            <w:tcW w:w="0" w:type="auto"/>
            <w:tcBorders>
              <w:top w:val="single" w:sz="6" w:space="0" w:color="auto"/>
              <w:left w:val="single" w:sz="6" w:space="0" w:color="auto"/>
              <w:bottom w:val="single" w:sz="6" w:space="0" w:color="auto"/>
              <w:right w:val="single" w:sz="6" w:space="0" w:color="auto"/>
            </w:tcBorders>
            <w:vAlign w:val="center"/>
            <w:hideMark/>
          </w:tcPr>
          <w:p w14:paraId="0848E45F"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color w:val="000000"/>
                <w:kern w:val="0"/>
                <w:sz w:val="20"/>
                <w:szCs w:val="20"/>
                <w14:ligatures w14:val="none"/>
              </w:rPr>
              <w:t>Difficulties with episodic memory/sequencing.</w:t>
            </w:r>
          </w:p>
        </w:tc>
        <w:tc>
          <w:tcPr>
            <w:tcW w:w="0" w:type="auto"/>
            <w:tcBorders>
              <w:top w:val="single" w:sz="6" w:space="0" w:color="auto"/>
              <w:left w:val="single" w:sz="6" w:space="0" w:color="auto"/>
              <w:bottom w:val="single" w:sz="6" w:space="0" w:color="auto"/>
              <w:right w:val="single" w:sz="6" w:space="0" w:color="auto"/>
            </w:tcBorders>
            <w:vAlign w:val="center"/>
            <w:hideMark/>
          </w:tcPr>
          <w:p w14:paraId="6F6DC3AF" w14:textId="77777777" w:rsidR="000817B7" w:rsidRPr="000817B7" w:rsidRDefault="000817B7" w:rsidP="000817B7">
            <w:pPr>
              <w:spacing w:after="0" w:line="240" w:lineRule="auto"/>
              <w:rPr>
                <w:rFonts w:ascii="Arial" w:eastAsia="Times New Roman" w:hAnsi="Arial" w:cs="Arial"/>
                <w:color w:val="000000"/>
                <w:kern w:val="0"/>
                <w:sz w:val="20"/>
                <w:szCs w:val="20"/>
                <w14:ligatures w14:val="none"/>
              </w:rPr>
            </w:pPr>
            <w:r w:rsidRPr="000817B7">
              <w:rPr>
                <w:rFonts w:ascii="Arial" w:eastAsia="Times New Roman" w:hAnsi="Arial" w:cs="Arial"/>
                <w:color w:val="000000"/>
                <w:kern w:val="0"/>
                <w:sz w:val="20"/>
                <w:szCs w:val="20"/>
                <w14:ligatures w14:val="none"/>
              </w:rPr>
              <w:t>Perceived as "changing their story."</w:t>
            </w:r>
          </w:p>
        </w:tc>
      </w:tr>
    </w:tbl>
    <w:p w14:paraId="4A521A58" w14:textId="77777777" w:rsidR="00EA2637" w:rsidRDefault="00EA2637">
      <w:pPr>
        <w:rPr>
          <w:sz w:val="20"/>
          <w:szCs w:val="20"/>
        </w:rPr>
      </w:pPr>
    </w:p>
    <w:p w14:paraId="2E0888C6" w14:textId="77777777" w:rsidR="000817B7" w:rsidRDefault="000817B7">
      <w:pPr>
        <w:rPr>
          <w:sz w:val="20"/>
          <w:szCs w:val="20"/>
        </w:rPr>
      </w:pPr>
    </w:p>
    <w:p w14:paraId="25FA12C1" w14:textId="77777777" w:rsidR="000817B7" w:rsidRPr="000817B7" w:rsidRDefault="000817B7" w:rsidP="000817B7">
      <w:pPr>
        <w:spacing w:before="100" w:beforeAutospacing="1" w:after="100" w:afterAutospacing="1" w:line="240" w:lineRule="auto"/>
        <w:rPr>
          <w:rFonts w:ascii="Times New Roman" w:eastAsia="Times New Roman" w:hAnsi="Times New Roman" w:cs="Times New Roman"/>
          <w:color w:val="000000"/>
          <w:kern w:val="0"/>
          <w14:ligatures w14:val="none"/>
        </w:rPr>
      </w:pPr>
      <w:r w:rsidRPr="000817B7">
        <w:rPr>
          <w:rFonts w:ascii="Times New Roman" w:eastAsia="Times New Roman" w:hAnsi="Times New Roman" w:cs="Times New Roman"/>
          <w:color w:val="000000"/>
          <w:kern w:val="0"/>
          <w14:ligatures w14:val="none"/>
        </w:rPr>
        <w:t>This comparison highlights a significant friction point between the lived experience of neurodivergent (ND) individuals and the systemic frameworks (legal and clinical) built around neurotypical (NT) communication.</w:t>
      </w:r>
    </w:p>
    <w:p w14:paraId="05AE3E33" w14:textId="77777777" w:rsidR="000817B7" w:rsidRPr="000817B7" w:rsidRDefault="000817B7" w:rsidP="000817B7">
      <w:pPr>
        <w:spacing w:before="100" w:beforeAutospacing="1" w:after="100" w:afterAutospacing="1" w:line="240" w:lineRule="auto"/>
        <w:rPr>
          <w:rFonts w:ascii="Times New Roman" w:eastAsia="Times New Roman" w:hAnsi="Times New Roman" w:cs="Times New Roman"/>
          <w:color w:val="000000"/>
          <w:kern w:val="0"/>
          <w14:ligatures w14:val="none"/>
        </w:rPr>
      </w:pPr>
      <w:r w:rsidRPr="000817B7">
        <w:rPr>
          <w:rFonts w:ascii="Times New Roman" w:eastAsia="Times New Roman" w:hAnsi="Times New Roman" w:cs="Times New Roman"/>
          <w:color w:val="000000"/>
          <w:kern w:val="0"/>
          <w14:ligatures w14:val="none"/>
        </w:rPr>
        <w:t>The tension you've identified—between the </w:t>
      </w:r>
      <w:r w:rsidRPr="000817B7">
        <w:rPr>
          <w:rFonts w:ascii="Times New Roman" w:eastAsia="Times New Roman" w:hAnsi="Times New Roman" w:cs="Times New Roman"/>
          <w:b/>
          <w:bCs/>
          <w:color w:val="000000"/>
          <w:kern w:val="0"/>
          <w14:ligatures w14:val="none"/>
        </w:rPr>
        <w:t>mimicry of behavior</w:t>
      </w:r>
      <w:r w:rsidRPr="000817B7">
        <w:rPr>
          <w:rFonts w:ascii="Times New Roman" w:eastAsia="Times New Roman" w:hAnsi="Times New Roman" w:cs="Times New Roman"/>
          <w:color w:val="000000"/>
          <w:kern w:val="0"/>
          <w14:ligatures w14:val="none"/>
        </w:rPr>
        <w:t> and the </w:t>
      </w:r>
      <w:r w:rsidRPr="000817B7">
        <w:rPr>
          <w:rFonts w:ascii="Times New Roman" w:eastAsia="Times New Roman" w:hAnsi="Times New Roman" w:cs="Times New Roman"/>
          <w:b/>
          <w:bCs/>
          <w:color w:val="000000"/>
          <w:kern w:val="0"/>
          <w14:ligatures w14:val="none"/>
        </w:rPr>
        <w:t>integrity of literal honesty</w:t>
      </w:r>
      <w:r w:rsidRPr="000817B7">
        <w:rPr>
          <w:rFonts w:ascii="Times New Roman" w:eastAsia="Times New Roman" w:hAnsi="Times New Roman" w:cs="Times New Roman"/>
          <w:color w:val="000000"/>
          <w:kern w:val="0"/>
          <w14:ligatures w14:val="none"/>
        </w:rPr>
        <w:t>—is well-supported by emerging research into the "Double Empathy Problem" and forensic psychology.</w:t>
      </w:r>
    </w:p>
    <w:p w14:paraId="0894D3F7" w14:textId="77777777" w:rsidR="000817B7" w:rsidRPr="000817B7" w:rsidRDefault="000817B7" w:rsidP="000817B7">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0817B7">
        <w:rPr>
          <w:rFonts w:ascii="Times New Roman" w:eastAsia="Times New Roman" w:hAnsi="Times New Roman" w:cs="Times New Roman"/>
          <w:b/>
          <w:bCs/>
          <w:color w:val="000000"/>
          <w:kern w:val="0"/>
          <w:sz w:val="27"/>
          <w:szCs w:val="27"/>
          <w14:ligatures w14:val="none"/>
        </w:rPr>
        <w:t>1. The "Mimicry" Theory: Social Echopraxia vs. Malice</w:t>
      </w:r>
    </w:p>
    <w:p w14:paraId="50946F5D" w14:textId="77777777" w:rsidR="000817B7" w:rsidRPr="000817B7" w:rsidRDefault="000817B7" w:rsidP="000817B7">
      <w:pPr>
        <w:spacing w:before="100" w:beforeAutospacing="1" w:after="100" w:afterAutospacing="1" w:line="240" w:lineRule="auto"/>
        <w:rPr>
          <w:rFonts w:ascii="Times New Roman" w:eastAsia="Times New Roman" w:hAnsi="Times New Roman" w:cs="Times New Roman"/>
          <w:color w:val="000000"/>
          <w:kern w:val="0"/>
          <w14:ligatures w14:val="none"/>
        </w:rPr>
      </w:pPr>
      <w:r w:rsidRPr="000817B7">
        <w:rPr>
          <w:rFonts w:ascii="Times New Roman" w:eastAsia="Times New Roman" w:hAnsi="Times New Roman" w:cs="Times New Roman"/>
          <w:color w:val="000000"/>
          <w:kern w:val="0"/>
          <w14:ligatures w14:val="none"/>
        </w:rPr>
        <w:t>The belief that neurodivergent children bully as a form of mimicry is often rooted in </w:t>
      </w:r>
      <w:r w:rsidRPr="000817B7">
        <w:rPr>
          <w:rFonts w:ascii="Times New Roman" w:eastAsia="Times New Roman" w:hAnsi="Times New Roman" w:cs="Times New Roman"/>
          <w:b/>
          <w:bCs/>
          <w:color w:val="000000"/>
          <w:kern w:val="0"/>
          <w14:ligatures w14:val="none"/>
        </w:rPr>
        <w:t>social echopraxia</w:t>
      </w:r>
      <w:r w:rsidRPr="000817B7">
        <w:rPr>
          <w:rFonts w:ascii="Times New Roman" w:eastAsia="Times New Roman" w:hAnsi="Times New Roman" w:cs="Times New Roman"/>
          <w:color w:val="000000"/>
          <w:kern w:val="0"/>
          <w14:ligatures w14:val="none"/>
        </w:rPr>
        <w:t> (involuntary imitation of actions).</w:t>
      </w:r>
    </w:p>
    <w:p w14:paraId="69812B4F" w14:textId="77777777" w:rsidR="000817B7" w:rsidRPr="000817B7" w:rsidRDefault="000817B7" w:rsidP="000817B7">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0817B7">
        <w:rPr>
          <w:rFonts w:ascii="Times New Roman" w:eastAsia="Times New Roman" w:hAnsi="Times New Roman" w:cs="Times New Roman"/>
          <w:b/>
          <w:bCs/>
          <w:color w:val="000000"/>
          <w:kern w:val="0"/>
          <w14:ligatures w14:val="none"/>
        </w:rPr>
        <w:t>The Learning Loop:</w:t>
      </w:r>
      <w:r w:rsidRPr="000817B7">
        <w:rPr>
          <w:rFonts w:ascii="Times New Roman" w:eastAsia="Times New Roman" w:hAnsi="Times New Roman" w:cs="Times New Roman"/>
          <w:color w:val="000000"/>
          <w:kern w:val="0"/>
          <w14:ligatures w14:val="none"/>
        </w:rPr>
        <w:t> Many ND children learn social interaction by "scripting" or mirroring peers. If their primary interaction with peers is being bullied, they may mirror those aggressive tactics (e.g., specific insults or physical gestures) not out of a desire for "top dog" status, but as a misguided attempt to join the social "game" or to defend themselves using the only "tools" they’ve seen work.</w:t>
      </w:r>
    </w:p>
    <w:p w14:paraId="1B675E74" w14:textId="77777777" w:rsidR="000817B7" w:rsidRPr="000817B7" w:rsidRDefault="000817B7" w:rsidP="000817B7">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0817B7">
        <w:rPr>
          <w:rFonts w:ascii="Times New Roman" w:eastAsia="Times New Roman" w:hAnsi="Times New Roman" w:cs="Times New Roman"/>
          <w:b/>
          <w:bCs/>
          <w:color w:val="000000"/>
          <w:kern w:val="0"/>
          <w14:ligatures w14:val="none"/>
        </w:rPr>
        <w:t>Targeted Triggering:</w:t>
      </w:r>
      <w:r w:rsidRPr="000817B7">
        <w:rPr>
          <w:rFonts w:ascii="Times New Roman" w:eastAsia="Times New Roman" w:hAnsi="Times New Roman" w:cs="Times New Roman"/>
          <w:color w:val="000000"/>
          <w:kern w:val="0"/>
          <w14:ligatures w14:val="none"/>
        </w:rPr>
        <w:t> Research shows ND children are often "intentionally triggered" by peers. When an ND child finally explodes in a meltdown or retaliates, the system often ignores the preceding months of subtle provocation and labels the ND child’s outburst as the primary act of "bullying."</w:t>
      </w:r>
    </w:p>
    <w:p w14:paraId="679F3911" w14:textId="77777777" w:rsidR="000817B7" w:rsidRPr="000817B7" w:rsidRDefault="000817B7" w:rsidP="000817B7">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14:ligatures w14:val="none"/>
        </w:rPr>
      </w:pPr>
      <w:r w:rsidRPr="000817B7">
        <w:rPr>
          <w:rFonts w:ascii="Times New Roman" w:eastAsia="Times New Roman" w:hAnsi="Times New Roman" w:cs="Times New Roman"/>
          <w:b/>
          <w:bCs/>
          <w:color w:val="000000"/>
          <w:kern w:val="0"/>
          <w:sz w:val="27"/>
          <w:szCs w:val="27"/>
          <w14:ligatures w14:val="none"/>
        </w:rPr>
        <w:t>2. The Credibility Gap: Systemic Bias in Training</w:t>
      </w:r>
    </w:p>
    <w:p w14:paraId="625D3277" w14:textId="77777777" w:rsidR="000817B7" w:rsidRPr="000817B7" w:rsidRDefault="000817B7" w:rsidP="000817B7">
      <w:pPr>
        <w:spacing w:before="100" w:beforeAutospacing="1" w:after="100" w:afterAutospacing="1" w:line="240" w:lineRule="auto"/>
        <w:rPr>
          <w:rFonts w:ascii="Times New Roman" w:eastAsia="Times New Roman" w:hAnsi="Times New Roman" w:cs="Times New Roman"/>
          <w:color w:val="000000"/>
          <w:kern w:val="0"/>
          <w14:ligatures w14:val="none"/>
        </w:rPr>
      </w:pPr>
      <w:r w:rsidRPr="000817B7">
        <w:rPr>
          <w:rFonts w:ascii="Times New Roman" w:eastAsia="Times New Roman" w:hAnsi="Times New Roman" w:cs="Times New Roman"/>
          <w:color w:val="000000"/>
          <w:kern w:val="0"/>
          <w14:ligatures w14:val="none"/>
        </w:rPr>
        <w:t>The training you mentioned for police and some counselors often relies on </w:t>
      </w:r>
      <w:r w:rsidRPr="000817B7">
        <w:rPr>
          <w:rFonts w:ascii="Times New Roman" w:eastAsia="Times New Roman" w:hAnsi="Times New Roman" w:cs="Times New Roman"/>
          <w:b/>
          <w:bCs/>
          <w:color w:val="000000"/>
          <w:kern w:val="0"/>
          <w14:ligatures w14:val="none"/>
        </w:rPr>
        <w:t>Behavior Symptom Analysis (BSA)</w:t>
      </w:r>
      <w:r w:rsidRPr="000817B7">
        <w:rPr>
          <w:rFonts w:ascii="Times New Roman" w:eastAsia="Times New Roman" w:hAnsi="Times New Roman" w:cs="Times New Roman"/>
          <w:color w:val="000000"/>
          <w:kern w:val="0"/>
          <w14:ligatures w14:val="none"/>
        </w:rPr>
        <w:t>, such as the </w:t>
      </w:r>
      <w:r w:rsidRPr="000817B7">
        <w:rPr>
          <w:rFonts w:ascii="Times New Roman" w:eastAsia="Times New Roman" w:hAnsi="Times New Roman" w:cs="Times New Roman"/>
          <w:b/>
          <w:bCs/>
          <w:color w:val="000000"/>
          <w:kern w:val="0"/>
          <w14:ligatures w14:val="none"/>
        </w:rPr>
        <w:t>Reid Technique</w:t>
      </w:r>
      <w:r w:rsidRPr="000817B7">
        <w:rPr>
          <w:rFonts w:ascii="Times New Roman" w:eastAsia="Times New Roman" w:hAnsi="Times New Roman" w:cs="Times New Roman"/>
          <w:color w:val="000000"/>
          <w:kern w:val="0"/>
          <w14:ligatures w14:val="none"/>
        </w:rPr>
        <w:t>. These methods are designed to catch "leakage" of deception, but they catastrophically misfire when applied to neurodivergent people.</w:t>
      </w:r>
    </w:p>
    <w:p w14:paraId="31CBD7DF" w14:textId="77777777" w:rsidR="000817B7" w:rsidRPr="000817B7" w:rsidRDefault="000817B7">
      <w:pPr>
        <w:rPr>
          <w:sz w:val="20"/>
          <w:szCs w:val="20"/>
        </w:rPr>
      </w:pPr>
    </w:p>
    <w:sectPr w:rsidR="000817B7" w:rsidRPr="000817B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2B4801"/>
    <w:multiLevelType w:val="multilevel"/>
    <w:tmpl w:val="1A8C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8969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7B7"/>
    <w:rsid w:val="000817B7"/>
    <w:rsid w:val="008E3325"/>
    <w:rsid w:val="009B6C03"/>
    <w:rsid w:val="00EA2637"/>
    <w:rsid w:val="00F009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7A387"/>
  <w15:chartTrackingRefBased/>
  <w15:docId w15:val="{0C0B7F52-48C3-9B40-8A3F-F8A0D4E17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17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17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817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17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17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17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17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17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17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17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17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817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17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17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17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17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17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17B7"/>
    <w:rPr>
      <w:rFonts w:eastAsiaTheme="majorEastAsia" w:cstheme="majorBidi"/>
      <w:color w:val="272727" w:themeColor="text1" w:themeTint="D8"/>
    </w:rPr>
  </w:style>
  <w:style w:type="paragraph" w:styleId="Title">
    <w:name w:val="Title"/>
    <w:basedOn w:val="Normal"/>
    <w:next w:val="Normal"/>
    <w:link w:val="TitleChar"/>
    <w:uiPriority w:val="10"/>
    <w:qFormat/>
    <w:rsid w:val="000817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17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17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17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17B7"/>
    <w:pPr>
      <w:spacing w:before="160"/>
      <w:jc w:val="center"/>
    </w:pPr>
    <w:rPr>
      <w:i/>
      <w:iCs/>
      <w:color w:val="404040" w:themeColor="text1" w:themeTint="BF"/>
    </w:rPr>
  </w:style>
  <w:style w:type="character" w:customStyle="1" w:styleId="QuoteChar">
    <w:name w:val="Quote Char"/>
    <w:basedOn w:val="DefaultParagraphFont"/>
    <w:link w:val="Quote"/>
    <w:uiPriority w:val="29"/>
    <w:rsid w:val="000817B7"/>
    <w:rPr>
      <w:i/>
      <w:iCs/>
      <w:color w:val="404040" w:themeColor="text1" w:themeTint="BF"/>
    </w:rPr>
  </w:style>
  <w:style w:type="paragraph" w:styleId="ListParagraph">
    <w:name w:val="List Paragraph"/>
    <w:basedOn w:val="Normal"/>
    <w:uiPriority w:val="34"/>
    <w:qFormat/>
    <w:rsid w:val="000817B7"/>
    <w:pPr>
      <w:ind w:left="720"/>
      <w:contextualSpacing/>
    </w:pPr>
  </w:style>
  <w:style w:type="character" w:styleId="IntenseEmphasis">
    <w:name w:val="Intense Emphasis"/>
    <w:basedOn w:val="DefaultParagraphFont"/>
    <w:uiPriority w:val="21"/>
    <w:qFormat/>
    <w:rsid w:val="000817B7"/>
    <w:rPr>
      <w:i/>
      <w:iCs/>
      <w:color w:val="0F4761" w:themeColor="accent1" w:themeShade="BF"/>
    </w:rPr>
  </w:style>
  <w:style w:type="paragraph" w:styleId="IntenseQuote">
    <w:name w:val="Intense Quote"/>
    <w:basedOn w:val="Normal"/>
    <w:next w:val="Normal"/>
    <w:link w:val="IntenseQuoteChar"/>
    <w:uiPriority w:val="30"/>
    <w:qFormat/>
    <w:rsid w:val="000817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17B7"/>
    <w:rPr>
      <w:i/>
      <w:iCs/>
      <w:color w:val="0F4761" w:themeColor="accent1" w:themeShade="BF"/>
    </w:rPr>
  </w:style>
  <w:style w:type="character" w:styleId="IntenseReference">
    <w:name w:val="Intense Reference"/>
    <w:basedOn w:val="DefaultParagraphFont"/>
    <w:uiPriority w:val="32"/>
    <w:qFormat/>
    <w:rsid w:val="000817B7"/>
    <w:rPr>
      <w:b/>
      <w:bCs/>
      <w:smallCaps/>
      <w:color w:val="0F4761" w:themeColor="accent1" w:themeShade="BF"/>
      <w:spacing w:val="5"/>
    </w:rPr>
  </w:style>
  <w:style w:type="character" w:styleId="Strong">
    <w:name w:val="Strong"/>
    <w:basedOn w:val="DefaultParagraphFont"/>
    <w:uiPriority w:val="22"/>
    <w:qFormat/>
    <w:rsid w:val="000817B7"/>
    <w:rPr>
      <w:b/>
      <w:bCs/>
    </w:rPr>
  </w:style>
  <w:style w:type="character" w:customStyle="1" w:styleId="apple-converted-space">
    <w:name w:val="apple-converted-space"/>
    <w:basedOn w:val="DefaultParagraphFont"/>
    <w:rsid w:val="000817B7"/>
  </w:style>
  <w:style w:type="paragraph" w:styleId="NormalWeb">
    <w:name w:val="Normal (Web)"/>
    <w:basedOn w:val="Normal"/>
    <w:uiPriority w:val="99"/>
    <w:semiHidden/>
    <w:unhideWhenUsed/>
    <w:rsid w:val="000817B7"/>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citation-7">
    <w:name w:val="citation-7"/>
    <w:basedOn w:val="DefaultParagraphFont"/>
    <w:rsid w:val="000817B7"/>
  </w:style>
  <w:style w:type="character" w:customStyle="1" w:styleId="citation-6">
    <w:name w:val="citation-6"/>
    <w:basedOn w:val="DefaultParagraphFont"/>
    <w:rsid w:val="000817B7"/>
  </w:style>
  <w:style w:type="character" w:customStyle="1" w:styleId="citation-5">
    <w:name w:val="citation-5"/>
    <w:basedOn w:val="DefaultParagraphFont"/>
    <w:rsid w:val="000817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321</Words>
  <Characters>1833</Characters>
  <Application>Microsoft Office Word</Application>
  <DocSecurity>0</DocSecurity>
  <Lines>15</Lines>
  <Paragraphs>4</Paragraphs>
  <ScaleCrop>false</ScaleCrop>
  <Company/>
  <LinksUpToDate>false</LinksUpToDate>
  <CharactersWithSpaces>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Sadownik</dc:creator>
  <cp:keywords/>
  <dc:description/>
  <cp:lastModifiedBy>Stephanie Sadownik</cp:lastModifiedBy>
  <cp:revision>1</cp:revision>
  <dcterms:created xsi:type="dcterms:W3CDTF">2026-01-06T13:21:00Z</dcterms:created>
  <dcterms:modified xsi:type="dcterms:W3CDTF">2026-01-06T13:22:00Z</dcterms:modified>
</cp:coreProperties>
</file>