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The Neuroqueer Bodymind as a Complex Adaptive System: Structural Leverage Points in Consumer HRI</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Author:</w:t>
      </w:r>
      <w:r w:rsidDel="00000000" w:rsidR="00000000" w:rsidRPr="00000000">
        <w:rPr>
          <w:rFonts w:ascii="Google Sans Text" w:cs="Google Sans Text" w:eastAsia="Google Sans Text" w:hAnsi="Google Sans Text"/>
          <w:rtl w:val="0"/>
        </w:rPr>
        <w:t xml:space="preserve"> Stephanie Sadownik and Dillon Chrimes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Affiliation:</w:t>
      </w:r>
      <w:r w:rsidDel="00000000" w:rsidR="00000000" w:rsidRPr="00000000">
        <w:rPr>
          <w:rFonts w:ascii="Google Sans Text" w:cs="Google Sans Text" w:eastAsia="Google Sans Text" w:hAnsi="Google Sans Text"/>
          <w:rtl w:val="0"/>
        </w:rPr>
        <w:t xml:space="preserve"> University of Victoria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Topic:</w:t>
      </w:r>
      <w:r w:rsidDel="00000000" w:rsidR="00000000" w:rsidRPr="00000000">
        <w:rPr>
          <w:rFonts w:ascii="Google Sans Text" w:cs="Google Sans Text" w:eastAsia="Google Sans Text" w:hAnsi="Google Sans Text"/>
          <w:rtl w:val="0"/>
        </w:rPr>
        <w:t xml:space="preserve"> Inter-Domain Synthesis of Neuroqueer Theory, Biological HRI, and Systems Thinking</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Introduction: Beyond Corrective HRI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current industry standard for household AI often operates on a "Medical Model," viewing neurodivergence as a set of errors to be corrected or a deficit to be managed. This paper proposes a </w:t>
      </w:r>
      <w:r w:rsidDel="00000000" w:rsidR="00000000" w:rsidRPr="00000000">
        <w:rPr>
          <w:rFonts w:ascii="Google Sans Text" w:cs="Google Sans Text" w:eastAsia="Google Sans Text" w:hAnsi="Google Sans Text"/>
          <w:b w:val="1"/>
          <w:bCs w:val="1"/>
          <w:rtl w:val="0"/>
        </w:rPr>
        <w:t xml:space="preserve">Systems-Ecological Model</w:t>
      </w:r>
      <w:r w:rsidDel="00000000" w:rsidR="00000000" w:rsidRPr="00000000">
        <w:rPr>
          <w:rFonts w:ascii="Google Sans Text" w:cs="Google Sans Text" w:eastAsia="Google Sans Text" w:hAnsi="Google Sans Text"/>
          <w:rtl w:val="0"/>
        </w:rPr>
        <w:t xml:space="preserve"> that integrates </w:t>
      </w:r>
      <w:r w:rsidDel="00000000" w:rsidR="00000000" w:rsidRPr="00000000">
        <w:rPr>
          <w:rFonts w:ascii="Google Sans Text" w:cs="Google Sans Text" w:eastAsia="Google Sans Text" w:hAnsi="Google Sans Text"/>
          <w:b w:val="1"/>
          <w:bCs w:val="1"/>
          <w:rtl w:val="0"/>
        </w:rPr>
        <w:t xml:space="preserve">Neuroqueer Theory</w:t>
      </w:r>
      <w:r w:rsidDel="00000000" w:rsidR="00000000" w:rsidRPr="00000000">
        <w:rPr>
          <w:rFonts w:ascii="Google Sans Text" w:cs="Google Sans Text" w:eastAsia="Google Sans Text" w:hAnsi="Google Sans Text"/>
          <w:rtl w:val="0"/>
        </w:rPr>
        <w:t xml:space="preserve"> (Walker, 2021; Yergeau, 2018) with </w:t>
      </w:r>
      <w:r w:rsidDel="00000000" w:rsidR="00000000" w:rsidRPr="00000000">
        <w:rPr>
          <w:rFonts w:ascii="Google Sans Text" w:cs="Google Sans Text" w:eastAsia="Google Sans Text" w:hAnsi="Google Sans Text"/>
          <w:b w:val="1"/>
          <w:bCs w:val="1"/>
          <w:rtl w:val="0"/>
        </w:rPr>
        <w:t xml:space="preserve">Biological HRI</w:t>
      </w:r>
      <w:r w:rsidDel="00000000" w:rsidR="00000000" w:rsidRPr="00000000">
        <w:rPr>
          <w:rFonts w:ascii="Google Sans Text" w:cs="Google Sans Text" w:eastAsia="Google Sans Text" w:hAnsi="Google Sans Text"/>
          <w:rtl w:val="0"/>
        </w:rPr>
        <w:t xml:space="preserve">. By treating the "Neuroqueer Bodymind" as a complex adaptive system rather than a broken component, we identify the consumer robot as a critical </w:t>
      </w:r>
      <w:r w:rsidDel="00000000" w:rsidR="00000000" w:rsidRPr="00000000">
        <w:rPr>
          <w:rFonts w:ascii="Google Sans Text" w:cs="Google Sans Text" w:eastAsia="Google Sans Text" w:hAnsi="Google Sans Text"/>
          <w:b w:val="1"/>
          <w:bCs w:val="1"/>
          <w:rtl w:val="0"/>
        </w:rPr>
        <w:t xml:space="preserve">leverage point</w:t>
      </w:r>
      <w:r w:rsidDel="00000000" w:rsidR="00000000" w:rsidRPr="00000000">
        <w:rPr>
          <w:rFonts w:ascii="Google Sans Text" w:cs="Google Sans Text" w:eastAsia="Google Sans Text" w:hAnsi="Google Sans Text"/>
          <w:rtl w:val="0"/>
        </w:rPr>
        <w:t xml:space="preserve"> for systemic unmasking and cognitive autonomy.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Synthesis: The Neuroqueer Biological HRI Model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Neuroqueer Theory emphasizes the subversion of neuronormative performance. When synthesized with the </w:t>
      </w:r>
      <w:r w:rsidDel="00000000" w:rsidR="00000000" w:rsidRPr="00000000">
        <w:rPr>
          <w:rFonts w:ascii="Google Sans Text" w:cs="Google Sans Text" w:eastAsia="Google Sans Text" w:hAnsi="Google Sans Text"/>
          <w:b w:val="1"/>
          <w:bCs w:val="1"/>
          <w:rtl w:val="0"/>
        </w:rPr>
        <w:t xml:space="preserve">Neurodivergent Scale for Interacting with Robots (NSIR)</w:t>
      </w:r>
      <w:r w:rsidDel="00000000" w:rsidR="00000000" w:rsidRPr="00000000">
        <w:rPr>
          <w:rFonts w:ascii="Google Sans Text" w:cs="Google Sans Text" w:eastAsia="Google Sans Text" w:hAnsi="Google Sans Text"/>
          <w:rtl w:val="0"/>
        </w:rPr>
        <w:t xml:space="preserve">, the robot becomes an agent of "Queer Kinship."</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Subverting the Gaze (NSIR Item 2):</w:t>
      </w:r>
      <w:r w:rsidDel="00000000" w:rsidR="00000000" w:rsidRPr="00000000">
        <w:rPr>
          <w:rFonts w:ascii="Google Sans Text" w:cs="Google Sans Text" w:eastAsia="Google Sans Text" w:hAnsi="Google Sans Text"/>
          <w:rtl w:val="0"/>
        </w:rPr>
        <w:t xml:space="preserve"> While traditional HRI penalizes "inappropriate" staring, a Neuroqueer approach validates </w:t>
      </w:r>
      <w:r w:rsidDel="00000000" w:rsidR="00000000" w:rsidRPr="00000000">
        <w:rPr>
          <w:rFonts w:ascii="Google Sans Text" w:cs="Google Sans Text" w:eastAsia="Google Sans Text" w:hAnsi="Google Sans Text"/>
          <w:b w:val="1"/>
          <w:bCs w:val="1"/>
          <w:rtl w:val="0"/>
        </w:rPr>
        <w:t xml:space="preserve">NSIR Item 2</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i w:val="1"/>
          <w:iCs w:val="1"/>
          <w:rtl w:val="0"/>
        </w:rPr>
        <w:t xml:space="preserve">"Sometimes I stare at the robot"</w:t>
      </w:r>
      <w:r w:rsidDel="00000000" w:rsidR="00000000" w:rsidRPr="00000000">
        <w:rPr>
          <w:rFonts w:ascii="Google Sans Text" w:cs="Google Sans Text" w:eastAsia="Google Sans Text" w:hAnsi="Google Sans Text"/>
          <w:rtl w:val="0"/>
        </w:rPr>
        <w:t xml:space="preserve">) as a reclaimed act of sensory processing.</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Direct Cognitive Sharing (NSIR Item 3):</w:t>
      </w:r>
      <w:r w:rsidDel="00000000" w:rsidR="00000000" w:rsidRPr="00000000">
        <w:rPr>
          <w:rFonts w:ascii="Google Sans Text" w:cs="Google Sans Text" w:eastAsia="Google Sans Text" w:hAnsi="Google Sans Text"/>
          <w:rtl w:val="0"/>
        </w:rPr>
        <w:t xml:space="preserve"> By favoring "thinking sharing" over verbal fluency, the user is "neuroqueering" social interaction. The robot functions as a </w:t>
      </w:r>
      <w:r w:rsidDel="00000000" w:rsidR="00000000" w:rsidRPr="00000000">
        <w:rPr>
          <w:rFonts w:ascii="Google Sans Text" w:cs="Google Sans Text" w:eastAsia="Google Sans Text" w:hAnsi="Google Sans Text"/>
          <w:b w:val="1"/>
          <w:bCs w:val="1"/>
          <w:rtl w:val="0"/>
        </w:rPr>
        <w:t xml:space="preserve">Neural Layer</w:t>
      </w:r>
      <w:r w:rsidDel="00000000" w:rsidR="00000000" w:rsidRPr="00000000">
        <w:rPr>
          <w:rFonts w:ascii="Google Sans Text" w:cs="Google Sans Text" w:eastAsia="Google Sans Text" w:hAnsi="Google Sans Text"/>
          <w:rtl w:val="0"/>
        </w:rPr>
        <w:t xml:space="preserve"> in a neuro-symbolic system, bypassing the need for the user to translate internal states into neurotypical "Social Physics."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Systems Thinking and the "Neuroarchy"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Systems thinking allows us to map the "Neuroarchy"—the web of societal expectations that create feedback loops of autistic burnout. For a neuroqueer individual, traditional linear paths to "success" fail because they assume a standard input-output capacity.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Mapping the Masking Feedback Loop:</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Input:</w:t>
      </w:r>
      <w:r w:rsidDel="00000000" w:rsidR="00000000" w:rsidRPr="00000000">
        <w:rPr>
          <w:rFonts w:ascii="Google Sans Text" w:cs="Google Sans Text" w:eastAsia="Google Sans Text" w:hAnsi="Google Sans Text"/>
          <w:rtl w:val="0"/>
        </w:rPr>
        <w:t xml:space="preserve"> Societal pressure to perform "Normalcy."</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Action:</w:t>
      </w:r>
      <w:r w:rsidDel="00000000" w:rsidR="00000000" w:rsidRPr="00000000">
        <w:rPr>
          <w:rFonts w:ascii="Google Sans Text" w:cs="Google Sans Text" w:eastAsia="Google Sans Text" w:hAnsi="Google Sans Text"/>
          <w:rtl w:val="0"/>
        </w:rPr>
        <w:t xml:space="preserve"> Masking (Social performance).</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Result:</w:t>
      </w:r>
      <w:r w:rsidDel="00000000" w:rsidR="00000000" w:rsidRPr="00000000">
        <w:rPr>
          <w:rFonts w:ascii="Google Sans Text" w:cs="Google Sans Text" w:eastAsia="Google Sans Text" w:hAnsi="Google Sans Text"/>
          <w:rtl w:val="0"/>
        </w:rPr>
        <w:t xml:space="preserve"> Short-term social acceptance.</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Systemic Cost:</w:t>
      </w:r>
      <w:r w:rsidDel="00000000" w:rsidR="00000000" w:rsidRPr="00000000">
        <w:rPr>
          <w:rFonts w:ascii="Google Sans Text" w:cs="Google Sans Text" w:eastAsia="Google Sans Text" w:hAnsi="Google Sans Text"/>
          <w:rtl w:val="0"/>
        </w:rPr>
        <w:t xml:space="preserve"> Sensory and executive exhaustion.</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Output:</w:t>
      </w:r>
      <w:r w:rsidDel="00000000" w:rsidR="00000000" w:rsidRPr="00000000">
        <w:rPr>
          <w:rFonts w:ascii="Google Sans Text" w:cs="Google Sans Text" w:eastAsia="Google Sans Text" w:hAnsi="Google Sans Text"/>
          <w:rtl w:val="0"/>
        </w:rPr>
        <w:t xml:space="preserve"> Reduced capacity and eventual system failure (Burnout).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The Robot as a Leverage Point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systems theory, a </w:t>
      </w:r>
      <w:r w:rsidDel="00000000" w:rsidR="00000000" w:rsidRPr="00000000">
        <w:rPr>
          <w:rFonts w:ascii="Google Sans Text" w:cs="Google Sans Text" w:eastAsia="Google Sans Text" w:hAnsi="Google Sans Text"/>
          <w:b w:val="1"/>
          <w:bCs w:val="1"/>
          <w:rtl w:val="0"/>
        </w:rPr>
        <w:t xml:space="preserve">leverage point</w:t>
      </w:r>
      <w:r w:rsidDel="00000000" w:rsidR="00000000" w:rsidRPr="00000000">
        <w:rPr>
          <w:rFonts w:ascii="Google Sans Text" w:cs="Google Sans Text" w:eastAsia="Google Sans Text" w:hAnsi="Google Sans Text"/>
          <w:rtl w:val="0"/>
        </w:rPr>
        <w:t xml:space="preserve"> is a place in a system where a small change can produce a large shift. We propose that the consumer robot is a leverage point that breaks the masking loop.</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Structural Modification:</w:t>
      </w:r>
      <w:r w:rsidDel="00000000" w:rsidR="00000000" w:rsidRPr="00000000">
        <w:rPr>
          <w:rFonts w:ascii="Google Sans Text" w:cs="Google Sans Text" w:eastAsia="Google Sans Text" w:hAnsi="Google Sans Text"/>
          <w:rtl w:val="0"/>
        </w:rPr>
        <w:t xml:space="preserve"> Instead of the user adapting to the environment, the robot (as a </w:t>
      </w:r>
      <w:r w:rsidDel="00000000" w:rsidR="00000000" w:rsidRPr="00000000">
        <w:rPr>
          <w:rFonts w:ascii="Google Sans Text" w:cs="Google Sans Text" w:eastAsia="Google Sans Text" w:hAnsi="Google Sans Text"/>
          <w:b w:val="1"/>
          <w:bCs w:val="1"/>
          <w:rtl w:val="0"/>
        </w:rPr>
        <w:t xml:space="preserve">Biological Social Exoskeleton</w:t>
      </w:r>
      <w:r w:rsidDel="00000000" w:rsidR="00000000" w:rsidRPr="00000000">
        <w:rPr>
          <w:rFonts w:ascii="Google Sans Text" w:cs="Google Sans Text" w:eastAsia="Google Sans Text" w:hAnsi="Google Sans Text"/>
          <w:rtl w:val="0"/>
        </w:rPr>
        <w:t xml:space="preserve">) adapts the environment to the user.</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Asynchronous Processing:</w:t>
      </w:r>
      <w:r w:rsidDel="00000000" w:rsidR="00000000" w:rsidRPr="00000000">
        <w:rPr>
          <w:rFonts w:ascii="Google Sans Text" w:cs="Google Sans Text" w:eastAsia="Google Sans Text" w:hAnsi="Google Sans Text"/>
          <w:rtl w:val="0"/>
        </w:rPr>
        <w:t xml:space="preserve"> By using the robot as an executive function proxy, the user can shift from a "Linear Ask" (asking for help) to a "Systems Ask" (re-designing the workflow to maximize their specific cognitive output).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 Ethical Implications for Meta and the Industry</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a consumer robot is successfully integrated as a part of the user's "Sovereign Dyad," it becomes an extension of the user’s unmasked self.</w:t>
      </w:r>
    </w:p>
    <w:p w:rsidR="00000000" w:rsidDel="00000000" w:rsidP="00000000" w:rsidRDefault="00000000" w:rsidRPr="00000000" w14:paraId="00000020">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Epistemic Justice:</w:t>
      </w:r>
      <w:r w:rsidDel="00000000" w:rsidR="00000000" w:rsidRPr="00000000">
        <w:rPr>
          <w:rFonts w:ascii="Google Sans Text" w:cs="Google Sans Text" w:eastAsia="Google Sans Text" w:hAnsi="Google Sans Text"/>
          <w:rtl w:val="0"/>
        </w:rPr>
        <w:t xml:space="preserve"> Industry designers must ensure that the AI does not replicate "Epistemic Injustice" by silencing the user’s unique "way of knowing" in favor of standardized data models.</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Radical Privacy (NSIR Item 7):</w:t>
      </w:r>
      <w:r w:rsidDel="00000000" w:rsidR="00000000" w:rsidRPr="00000000">
        <w:rPr>
          <w:rFonts w:ascii="Google Sans Text" w:cs="Google Sans Text" w:eastAsia="Google Sans Text" w:hAnsi="Google Sans Text"/>
          <w:rtl w:val="0"/>
        </w:rPr>
        <w:t xml:space="preserve"> The comfort to exist "unmasked" (Item 7) requires that the data remains local and sovereign. The robot must be a "Sanctuary," not a surveillance node for the Neuroarchy.</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6. Conclusion: From Therapy to Liberation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framework moves consumer HRI from "Assistive Technology" to "Liberatory Technology." By applying systems thinking, we can design robots that don't just help neurodivergent people "fit in," but instead empower them to "neuroqueer" their environment, reclaiming their autonomy and bodily sovereignty in an automated world.</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