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The reference matrix for the </w:t>
      </w:r>
      <w:r w:rsidDel="00000000" w:rsidR="00000000" w:rsidRPr="00000000">
        <w:rPr>
          <w:rFonts w:ascii="Google Sans Text" w:cs="Google Sans Text" w:eastAsia="Google Sans Text" w:hAnsi="Google Sans Text"/>
          <w:b w:val="1"/>
          <w:bCs w:val="1"/>
          <w:rtl w:val="0"/>
        </w:rPr>
        <w:t xml:space="preserve">Neurodivergent Scale for Interacting with Robots (NSIR)</w:t>
      </w:r>
      <w:r w:rsidDel="00000000" w:rsidR="00000000" w:rsidRPr="00000000">
        <w:rPr>
          <w:rFonts w:ascii="Google Sans Text" w:cs="Google Sans Text" w:eastAsia="Google Sans Text" w:hAnsi="Google Sans Text"/>
          <w:rtl w:val="0"/>
        </w:rPr>
        <w:t xml:space="preserve">—identified in research documentation as </w:t>
      </w:r>
      <w:r w:rsidDel="00000000" w:rsidR="00000000" w:rsidRPr="00000000">
        <w:rPr>
          <w:rFonts w:ascii="Google Sans Text" w:cs="Google Sans Text" w:eastAsia="Google Sans Text" w:hAnsi="Google Sans Text"/>
          <w:b w:val="1"/>
          <w:bCs w:val="1"/>
          <w:rtl w:val="0"/>
        </w:rPr>
        <w:t xml:space="preserve">Table 79</w:t>
      </w:r>
      <w:r w:rsidDel="00000000" w:rsidR="00000000" w:rsidRPr="00000000">
        <w:rPr>
          <w:rFonts w:ascii="Google Sans Text" w:cs="Google Sans Text" w:eastAsia="Google Sans Text" w:hAnsi="Google Sans Text"/>
          <w:rtl w:val="0"/>
        </w:rPr>
        <w:t xml:space="preserve">—functions as a structural bridge between specific behavioral items and interdisciplinary research across psychology, ethics, and human-robot interaction (HRI).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Key Attributions from References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matrix organizes its statements into three primary pillars, with specific authors providing the empirical and theoretical weight for each:</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Anthropomorphic Connection and Kinship (Items 1, 3, 4, 6):</w:t>
      </w:r>
      <w:r w:rsidDel="00000000" w:rsidR="00000000" w:rsidRPr="00000000">
        <w:rPr>
          <w:rFonts w:ascii="Google Sans Text" w:cs="Google Sans Text" w:eastAsia="Google Sans Text" w:hAnsi="Google Sans Text"/>
          <w:rtl w:val="0"/>
        </w:rPr>
        <w:t xml:space="preserve"> These items evaluate the humanization of robots and the formation of social bonds. The work of </w:t>
      </w:r>
      <w:r w:rsidDel="00000000" w:rsidR="00000000" w:rsidRPr="00000000">
        <w:rPr>
          <w:rFonts w:ascii="Google Sans Text" w:cs="Google Sans Text" w:eastAsia="Google Sans Text" w:hAnsi="Google Sans Text"/>
          <w:b w:val="1"/>
          <w:bCs w:val="1"/>
          <w:rtl w:val="0"/>
        </w:rPr>
        <w:t xml:space="preserve">Waytz et al. (2010)</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Leslie (2001)</w:t>
      </w:r>
      <w:r w:rsidDel="00000000" w:rsidR="00000000" w:rsidRPr="00000000">
        <w:rPr>
          <w:rFonts w:ascii="Google Sans Text" w:cs="Google Sans Text" w:eastAsia="Google Sans Text" w:hAnsi="Google Sans Text"/>
          <w:rtl w:val="0"/>
        </w:rPr>
        <w:t xml:space="preserve"> is central here, providing the basis for how users attribute "internal" minds to machines. </w:t>
      </w:r>
      <w:r w:rsidDel="00000000" w:rsidR="00000000" w:rsidRPr="00000000">
        <w:rPr>
          <w:rFonts w:ascii="Google Sans Text" w:cs="Google Sans Text" w:eastAsia="Google Sans Text" w:hAnsi="Google Sans Text"/>
          <w:sz w:val="24"/>
          <w:szCs w:val="24"/>
          <w:vertAlign w:val="superscript"/>
          <w:rtl w:val="0"/>
        </w:rPr>
        <w:t xml:space="preserve">1</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Balle (2022)</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Abbo et al. (2025)</w:t>
      </w:r>
      <w:r w:rsidDel="00000000" w:rsidR="00000000" w:rsidRPr="00000000">
        <w:rPr>
          <w:rFonts w:ascii="Google Sans Text" w:cs="Google Sans Text" w:eastAsia="Google Sans Text" w:hAnsi="Google Sans Text"/>
          <w:rtl w:val="0"/>
        </w:rPr>
        <w:t xml:space="preserve"> further attribute "moral status" and "attachment theory" to these connections, suggesting that if a user perceives a robot as having an internal cognitive link (Item 3), they are more likely to grant it the ethical consideration of a social partner rather than a mere tool.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Social Comfort and Trust (Items 5, 8):</w:t>
      </w:r>
      <w:r w:rsidDel="00000000" w:rsidR="00000000" w:rsidRPr="00000000">
        <w:rPr>
          <w:rFonts w:ascii="Google Sans Text" w:cs="Google Sans Text" w:eastAsia="Google Sans Text" w:hAnsi="Google Sans Text"/>
          <w:rtl w:val="0"/>
        </w:rPr>
        <w:t xml:space="preserve"> This section focuses on the robot's reliability and perceived empathy. </w:t>
      </w:r>
      <w:r w:rsidDel="00000000" w:rsidR="00000000" w:rsidRPr="00000000">
        <w:rPr>
          <w:rFonts w:ascii="Google Sans Text" w:cs="Google Sans Text" w:eastAsia="Google Sans Text" w:hAnsi="Google Sans Text"/>
          <w:b w:val="1"/>
          <w:bCs w:val="1"/>
          <w:rtl w:val="0"/>
        </w:rPr>
        <w:t xml:space="preserve">Park &amp; Whang (2022)</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Graham (2025)</w:t>
      </w:r>
      <w:r w:rsidDel="00000000" w:rsidR="00000000" w:rsidRPr="00000000">
        <w:rPr>
          <w:rFonts w:ascii="Google Sans Text" w:cs="Google Sans Text" w:eastAsia="Google Sans Text" w:hAnsi="Google Sans Text"/>
          <w:rtl w:val="0"/>
        </w:rPr>
        <w:t xml:space="preserve"> provide the framework for affective recognition (Item 5), while </w:t>
      </w:r>
      <w:r w:rsidDel="00000000" w:rsidR="00000000" w:rsidRPr="00000000">
        <w:rPr>
          <w:rFonts w:ascii="Google Sans Text" w:cs="Google Sans Text" w:eastAsia="Google Sans Text" w:hAnsi="Google Sans Text"/>
          <w:b w:val="1"/>
          <w:bCs w:val="1"/>
          <w:rtl w:val="0"/>
        </w:rPr>
        <w:t xml:space="preserve">Zolyomi &amp; Snyder (2021)</w:t>
      </w:r>
      <w:r w:rsidDel="00000000" w:rsidR="00000000" w:rsidRPr="00000000">
        <w:rPr>
          <w:rFonts w:ascii="Google Sans Text" w:cs="Google Sans Text" w:eastAsia="Google Sans Text" w:hAnsi="Google Sans Text"/>
          <w:rtl w:val="0"/>
        </w:rPr>
        <w:t xml:space="preserve"> attribute the "Social Comfort" of neurodivergent users to mechanical consistency and "sameness" (Item 8), which reduces the "social threat" often found in human-to-human interactions. </w:t>
      </w:r>
      <w:r w:rsidDel="00000000" w:rsidR="00000000" w:rsidRPr="00000000">
        <w:rPr>
          <w:rFonts w:ascii="Google Sans Text" w:cs="Google Sans Text" w:eastAsia="Google Sans Text" w:hAnsi="Google Sans Text"/>
          <w:sz w:val="24"/>
          <w:szCs w:val="24"/>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Safety and Vulnerability (Items 2, 7):</w:t>
      </w:r>
      <w:r w:rsidDel="00000000" w:rsidR="00000000" w:rsidRPr="00000000">
        <w:rPr>
          <w:rFonts w:ascii="Google Sans Text" w:cs="Google Sans Text" w:eastAsia="Google Sans Text" w:hAnsi="Google Sans Text"/>
          <w:rtl w:val="0"/>
        </w:rPr>
        <w:t xml:space="preserve"> These items measure ethical safety. </w:t>
      </w:r>
      <w:r w:rsidDel="00000000" w:rsidR="00000000" w:rsidRPr="00000000">
        <w:rPr>
          <w:rFonts w:ascii="Google Sans Text" w:cs="Google Sans Text" w:eastAsia="Google Sans Text" w:hAnsi="Google Sans Text"/>
          <w:b w:val="1"/>
          <w:bCs w:val="1"/>
          <w:rtl w:val="0"/>
        </w:rPr>
        <w:t xml:space="preserve">Coleman et al. (2025)</w:t>
      </w:r>
      <w:r w:rsidDel="00000000" w:rsidR="00000000" w:rsidRPr="00000000">
        <w:rPr>
          <w:rFonts w:ascii="Google Sans Text" w:cs="Google Sans Text" w:eastAsia="Google Sans Text" w:hAnsi="Google Sans Text"/>
          <w:rtl w:val="0"/>
        </w:rPr>
        <w:t xml:space="preserve"> provide data on "staring" (Item 2) as a valid form of social monitoring for those with slower face-processing speeds. The </w:t>
      </w:r>
      <w:r w:rsidDel="00000000" w:rsidR="00000000" w:rsidRPr="00000000">
        <w:rPr>
          <w:rFonts w:ascii="Google Sans Text" w:cs="Google Sans Text" w:eastAsia="Google Sans Text" w:hAnsi="Google Sans Text"/>
          <w:b w:val="1"/>
          <w:bCs w:val="1"/>
          <w:rtl w:val="0"/>
        </w:rPr>
        <w:t xml:space="preserve">Risk-regulation model</w:t>
      </w:r>
      <w:r w:rsidDel="00000000" w:rsidR="00000000" w:rsidRPr="00000000">
        <w:rPr>
          <w:rFonts w:ascii="Google Sans Text" w:cs="Google Sans Text" w:eastAsia="Google Sans Text" w:hAnsi="Google Sans Text"/>
          <w:rtl w:val="0"/>
        </w:rPr>
        <w:t xml:space="preserve"> and the work of </w:t>
      </w:r>
      <w:r w:rsidDel="00000000" w:rsidR="00000000" w:rsidRPr="00000000">
        <w:rPr>
          <w:rFonts w:ascii="Google Sans Text" w:cs="Google Sans Text" w:eastAsia="Google Sans Text" w:hAnsi="Google Sans Text"/>
          <w:b w:val="1"/>
          <w:bCs w:val="1"/>
          <w:rtl w:val="0"/>
        </w:rPr>
        <w:t xml:space="preserve">Winkle et al. (2023)</w:t>
      </w:r>
      <w:r w:rsidDel="00000000" w:rsidR="00000000" w:rsidRPr="00000000">
        <w:rPr>
          <w:rFonts w:ascii="Google Sans Text" w:cs="Google Sans Text" w:eastAsia="Google Sans Text" w:hAnsi="Google Sans Text"/>
          <w:rtl w:val="0"/>
        </w:rPr>
        <w:t xml:space="preserve"> regarding Feminist HRI provide the grounding for "vulnerability safety" (Item 7), arguing that feeling comfortable undressing in front of a robot signals that it has successfully avoided enforcing harmful social hierarchies. </w:t>
      </w:r>
      <w:r w:rsidDel="00000000" w:rsidR="00000000" w:rsidRPr="00000000">
        <w:rPr>
          <w:rFonts w:ascii="Google Sans Text" w:cs="Google Sans Text" w:eastAsia="Google Sans Text" w:hAnsi="Google Sans Text"/>
          <w:sz w:val="24"/>
          <w:szCs w:val="24"/>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Conflicting Information and Divergent Findings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documentation highlights several areas where traditional HRI theories conflict with the neuro-affirming data presented in the NSIR:</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Uncanny Valley vs. Anthropomorphic Kinship:</w:t>
      </w:r>
      <w:r w:rsidDel="00000000" w:rsidR="00000000" w:rsidRPr="00000000">
        <w:rPr>
          <w:rFonts w:ascii="Google Sans Text" w:cs="Google Sans Text" w:eastAsia="Google Sans Text" w:hAnsi="Google Sans Text"/>
          <w:rtl w:val="0"/>
        </w:rPr>
        <w:t xml:space="preserve"> While traditional HRI theory suggests that human-like robots cause revulsion (the "Uncanny Valley"), the NSIR findings suggest that for neurodivergent users, the predictable logic of a robot can actually foster a deep sense of identification or "kinship," making the synthetic nature a source of comfort rather than discomfort.</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Monitoring Mentor vs. Non-Judgmental Sanctuary:</w:t>
      </w:r>
      <w:r w:rsidDel="00000000" w:rsidR="00000000" w:rsidRPr="00000000">
        <w:rPr>
          <w:rFonts w:ascii="Google Sans Text" w:cs="Google Sans Text" w:eastAsia="Google Sans Text" w:hAnsi="Google Sans Text"/>
          <w:rtl w:val="0"/>
        </w:rPr>
        <w:t xml:space="preserve"> There is a tension between the "medical model" of robotics—where the agent acts as a mentor to correct social "deficits"—and the "affirmative model." The NSIR warns that a mentor role can reinforce ableist power imbalances, whereas the scale's items measure the robot’s utility as a "Somatic Sanctuary" free from the "monitoring" gaze of a neurotypical observer. </w:t>
      </w:r>
      <w:r w:rsidDel="00000000" w:rsidR="00000000" w:rsidRPr="00000000">
        <w:rPr>
          <w:rFonts w:ascii="Google Sans Text" w:cs="Google Sans Text" w:eastAsia="Google Sans Text" w:hAnsi="Google Sans Text"/>
          <w:sz w:val="24"/>
          <w:szCs w:val="24"/>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Affective Sensing (Deficit vs. Validity):</w:t>
      </w:r>
      <w:r w:rsidDel="00000000" w:rsidR="00000000" w:rsidRPr="00000000">
        <w:rPr>
          <w:rFonts w:ascii="Google Sans Text" w:cs="Google Sans Text" w:eastAsia="Google Sans Text" w:hAnsi="Google Sans Text"/>
          <w:rtl w:val="0"/>
        </w:rPr>
        <w:t xml:space="preserve"> Standard affective computing often misinterprets "flat affect" or unconventional prosody as a communication "deficit." However, the 2024–2025 research associated with the NSIR identifies these same features as valid emotional states, arguing that AI should be calibrated to recognize diverse speech patterns rather than enforcing a single social ideal. </w:t>
      </w:r>
      <w:r w:rsidDel="00000000" w:rsidR="00000000" w:rsidRPr="00000000">
        <w:rPr>
          <w:rFonts w:ascii="Google Sans Text" w:cs="Google Sans Text" w:eastAsia="Google Sans Text" w:hAnsi="Google Sans Text"/>
          <w:sz w:val="24"/>
          <w:szCs w:val="24"/>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Universal Consistency vs. Ableist Generalization:</w:t>
      </w:r>
      <w:r w:rsidDel="00000000" w:rsidR="00000000" w:rsidRPr="00000000">
        <w:rPr>
          <w:rFonts w:ascii="Google Sans Text" w:cs="Google Sans Text" w:eastAsia="Google Sans Text" w:hAnsi="Google Sans Text"/>
          <w:rtl w:val="0"/>
        </w:rPr>
        <w:t xml:space="preserve"> There is an ethical conflict between the risk of Large Language Models (LLMs) adopting generalizations rooted in ableist norms and the user's need for "logical fairness." The NSIR uses Item 8 to verify that the robot remains consistent with the user regardless of their disability status, countering the risk of algorithmic discrimination. </w:t>
      </w:r>
      <w:r w:rsidDel="00000000" w:rsidR="00000000" w:rsidRPr="00000000">
        <w:rPr>
          <w:rFonts w:ascii="Google Sans Text" w:cs="Google Sans Text" w:eastAsia="Google Sans Text" w:hAnsi="Google Sans Text"/>
          <w:sz w:val="24"/>
          <w:szCs w:val="24"/>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