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sz w:val="24"/>
          <w:szCs w:val="24"/>
          <w:vertAlign w:val="superscript"/>
        </w:rPr>
      </w:pPr>
      <w:r w:rsidDel="00000000" w:rsidR="00000000" w:rsidRPr="00000000">
        <w:rPr>
          <w:rFonts w:ascii="Google Sans Text" w:cs="Google Sans Text" w:eastAsia="Google Sans Text" w:hAnsi="Google Sans Text"/>
          <w:rtl w:val="0"/>
        </w:rPr>
        <w:t xml:space="preserve">In the context of the research repository, the concept and practice of mindfulness are not categorized as specific rows or columns within the </w:t>
      </w:r>
      <w:r w:rsidDel="00000000" w:rsidR="00000000" w:rsidRPr="00000000">
        <w:rPr>
          <w:rFonts w:ascii="Google Sans Text" w:cs="Google Sans Text" w:eastAsia="Google Sans Text" w:hAnsi="Google Sans Text"/>
          <w:b w:val="1"/>
          <w:bCs w:val="1"/>
          <w:rtl w:val="0"/>
        </w:rPr>
        <w:t xml:space="preserve">NSIR reference matrix (Table 79)</w:t>
      </w:r>
      <w:r w:rsidDel="00000000" w:rsidR="00000000" w:rsidRPr="00000000">
        <w:rPr>
          <w:rFonts w:ascii="Google Sans Text" w:cs="Google Sans Text" w:eastAsia="Google Sans Text" w:hAnsi="Google Sans Text"/>
          <w:rtl w:val="0"/>
        </w:rPr>
        <w:t xml:space="preserve"> or the </w:t>
      </w:r>
      <w:r w:rsidDel="00000000" w:rsidR="00000000" w:rsidRPr="00000000">
        <w:rPr>
          <w:rFonts w:ascii="Google Sans Text" w:cs="Google Sans Text" w:eastAsia="Google Sans Text" w:hAnsi="Google Sans Text"/>
          <w:b w:val="1"/>
          <w:bCs w:val="1"/>
          <w:rtl w:val="0"/>
        </w:rPr>
        <w:t xml:space="preserve">Concept Mapping (Table 63)</w:t>
      </w:r>
      <w:r w:rsidDel="00000000" w:rsidR="00000000" w:rsidRPr="00000000">
        <w:rPr>
          <w:rFonts w:ascii="Google Sans Text" w:cs="Google Sans Text" w:eastAsia="Google Sans Text" w:hAnsi="Google Sans Text"/>
          <w:rtl w:val="0"/>
        </w:rPr>
        <w:t xml:space="preserve">. Instead, mindfulness functions as a foundational theoretical framework and a methodological imperative that informs how users engage with technology and how researchers conduct studies. </w:t>
      </w:r>
      <w:r w:rsidDel="00000000" w:rsidR="00000000" w:rsidRPr="00000000">
        <w:rPr>
          <w:rFonts w:ascii="Google Sans Text" w:cs="Google Sans Text" w:eastAsia="Google Sans Text" w:hAnsi="Google Sans Text"/>
          <w:sz w:val="24"/>
          <w:szCs w:val="24"/>
          <w:vertAlign w:val="superscript"/>
          <w:rtl w:val="0"/>
        </w:rPr>
        <w:t xml:space="preserve">1</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rPr>
          <w:rFonts w:ascii="Google Sans Text" w:cs="Google Sans Text" w:eastAsia="Google Sans Text" w:hAnsi="Google Sans Text"/>
          <w:sz w:val="24"/>
          <w:szCs w:val="24"/>
          <w:vertAlign w:val="superscript"/>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key parts attributed to the concept and practice of mindfulness include:</w:t>
      </w:r>
    </w:p>
    <w:p w:rsidR="00000000" w:rsidDel="00000000" w:rsidP="00000000" w:rsidRDefault="00000000" w:rsidRPr="00000000" w14:paraId="00000004">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1. Awareness and Autonomous Functioning</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Mindfulness is defined within the repository through </w:t>
      </w:r>
      <w:r w:rsidDel="00000000" w:rsidR="00000000" w:rsidRPr="00000000">
        <w:rPr>
          <w:rFonts w:ascii="Google Sans Text" w:cs="Google Sans Text" w:eastAsia="Google Sans Text" w:hAnsi="Google Sans Text"/>
          <w:b w:val="1"/>
          <w:bCs w:val="1"/>
          <w:rtl w:val="0"/>
        </w:rPr>
        <w:t xml:space="preserve">Self-Determination Theory (SDT)</w:t>
      </w:r>
      <w:r w:rsidDel="00000000" w:rsidR="00000000" w:rsidRPr="00000000">
        <w:rPr>
          <w:rFonts w:ascii="Google Sans Text" w:cs="Google Sans Text" w:eastAsia="Google Sans Text" w:hAnsi="Google Sans Text"/>
          <w:rtl w:val="0"/>
        </w:rPr>
        <w:t xml:space="preserve"> as an "open awareness and interested attention to what is happening within and around oneself" (Brown &amp; Ryan, 2003). In this context, mindfulness is attributed to the development of </w:t>
      </w:r>
      <w:r w:rsidDel="00000000" w:rsidR="00000000" w:rsidRPr="00000000">
        <w:rPr>
          <w:rFonts w:ascii="Google Sans Text" w:cs="Google Sans Text" w:eastAsia="Google Sans Text" w:hAnsi="Google Sans Text"/>
          <w:b w:val="1"/>
          <w:bCs w:val="1"/>
          <w:rtl w:val="0"/>
        </w:rPr>
        <w:t xml:space="preserve">integrated, autonomous functioning</w:t>
      </w:r>
      <w:r w:rsidDel="00000000" w:rsidR="00000000" w:rsidRPr="00000000">
        <w:rPr>
          <w:rFonts w:ascii="Google Sans Text" w:cs="Google Sans Text" w:eastAsia="Google Sans Text" w:hAnsi="Google Sans Text"/>
          <w:rtl w:val="0"/>
        </w:rPr>
        <w:t xml:space="preserve">. It is seen as a central element that allows for "inner exploration" and a "reflective examination of needs and feelings," which supports the user's ability to maintain an autonomous orientation when interacting with autonomous agents or robots.</w:t>
      </w:r>
    </w:p>
    <w:p w:rsidR="00000000" w:rsidDel="00000000" w:rsidP="00000000" w:rsidRDefault="00000000" w:rsidRPr="00000000" w14:paraId="00000006">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2. Mindful vs. Mindless Anthropomorphism</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research distinguishes between two types of humanization in agents:</w:t>
      </w:r>
    </w:p>
    <w:p w:rsidR="00000000" w:rsidDel="00000000" w:rsidP="00000000" w:rsidRDefault="00000000" w:rsidRPr="00000000" w14:paraId="00000008">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Mindless Anthropomorphism</w:t>
      </w:r>
      <w:r w:rsidDel="00000000" w:rsidR="00000000" w:rsidRPr="00000000">
        <w:rPr>
          <w:rFonts w:ascii="Google Sans Text" w:cs="Google Sans Text" w:eastAsia="Google Sans Text" w:hAnsi="Google Sans Text"/>
          <w:rtl w:val="0"/>
        </w:rPr>
        <w:t xml:space="preserve">: Often triggered automatically by human-like appearances or "CGI" features in virtual influencers.</w:t>
      </w:r>
    </w:p>
    <w:p w:rsidR="00000000" w:rsidDel="00000000" w:rsidP="00000000" w:rsidRDefault="00000000" w:rsidRPr="00000000" w14:paraId="00000009">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Mindful Anthropomorphism</w:t>
      </w:r>
      <w:r w:rsidDel="00000000" w:rsidR="00000000" w:rsidRPr="00000000">
        <w:rPr>
          <w:rFonts w:ascii="Google Sans Text" w:cs="Google Sans Text" w:eastAsia="Google Sans Text" w:hAnsi="Google Sans Text"/>
          <w:rtl w:val="0"/>
        </w:rPr>
        <w:t xml:space="preserve">: Refers to a more deliberate and personal bond. While human-like appearance significantly increases "mindless" reactions, it does not necessarily impact the "mindful" personal bond, which is more closely related to the </w:t>
      </w:r>
      <w:r w:rsidDel="00000000" w:rsidR="00000000" w:rsidRPr="00000000">
        <w:rPr>
          <w:rFonts w:ascii="Google Sans Text" w:cs="Google Sans Text" w:eastAsia="Google Sans Text" w:hAnsi="Google Sans Text"/>
          <w:b w:val="1"/>
          <w:bCs w:val="1"/>
          <w:rtl w:val="0"/>
        </w:rPr>
        <w:t xml:space="preserve">Anthropomorphic Connection</w:t>
      </w:r>
      <w:r w:rsidDel="00000000" w:rsidR="00000000" w:rsidRPr="00000000">
        <w:rPr>
          <w:rFonts w:ascii="Google Sans Text" w:cs="Google Sans Text" w:eastAsia="Google Sans Text" w:hAnsi="Google Sans Text"/>
          <w:rtl w:val="0"/>
        </w:rPr>
        <w:t xml:space="preserve"> and </w:t>
      </w:r>
      <w:r w:rsidDel="00000000" w:rsidR="00000000" w:rsidRPr="00000000">
        <w:rPr>
          <w:rFonts w:ascii="Google Sans Text" w:cs="Google Sans Text" w:eastAsia="Google Sans Text" w:hAnsi="Google Sans Text"/>
          <w:b w:val="1"/>
          <w:bCs w:val="1"/>
          <w:rtl w:val="0"/>
        </w:rPr>
        <w:t xml:space="preserve">Kinship</w:t>
      </w:r>
      <w:r w:rsidDel="00000000" w:rsidR="00000000" w:rsidRPr="00000000">
        <w:rPr>
          <w:rFonts w:ascii="Google Sans Text" w:cs="Google Sans Text" w:eastAsia="Google Sans Text" w:hAnsi="Google Sans Text"/>
          <w:rtl w:val="0"/>
        </w:rPr>
        <w:t xml:space="preserve"> factors measured in the NSIR (e.g., naming a robot or seeing it as a peer).</w:t>
      </w:r>
    </w:p>
    <w:p w:rsidR="00000000" w:rsidDel="00000000" w:rsidP="00000000" w:rsidRDefault="00000000" w:rsidRPr="00000000" w14:paraId="0000000A">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3. Procedural and Ethical Mindfulness</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In the practice of human-robot interaction (HRI), mindfulness is framed as a </w:t>
      </w:r>
      <w:r w:rsidDel="00000000" w:rsidR="00000000" w:rsidRPr="00000000">
        <w:rPr>
          <w:rFonts w:ascii="Google Sans Text" w:cs="Google Sans Text" w:eastAsia="Google Sans Text" w:hAnsi="Google Sans Text"/>
          <w:b w:val="1"/>
          <w:bCs w:val="1"/>
          <w:rtl w:val="0"/>
        </w:rPr>
        <w:t xml:space="preserve">methodological responsibility</w:t>
      </w:r>
      <w:r w:rsidDel="00000000" w:rsidR="00000000" w:rsidRPr="00000000">
        <w:rPr>
          <w:rFonts w:ascii="Google Sans Text" w:cs="Google Sans Text" w:eastAsia="Google Sans Text" w:hAnsi="Google Sans Text"/>
          <w:rtl w:val="0"/>
        </w:rPr>
        <w:t xml:space="preserve">. The </w:t>
      </w:r>
      <w:r w:rsidDel="00000000" w:rsidR="00000000" w:rsidRPr="00000000">
        <w:rPr>
          <w:rFonts w:ascii="Google Sans Text" w:cs="Google Sans Text" w:eastAsia="Google Sans Text" w:hAnsi="Google Sans Text"/>
          <w:b w:val="1"/>
          <w:bCs w:val="1"/>
          <w:rtl w:val="0"/>
        </w:rPr>
        <w:t xml:space="preserve">HRI Equitable Design framework (Table 16)</w:t>
      </w:r>
      <w:r w:rsidDel="00000000" w:rsidR="00000000" w:rsidRPr="00000000">
        <w:rPr>
          <w:rFonts w:ascii="Google Sans Text" w:cs="Google Sans Text" w:eastAsia="Google Sans Text" w:hAnsi="Google Sans Text"/>
          <w:rtl w:val="0"/>
        </w:rPr>
        <w:t xml:space="preserve"> attributes "mindfulness" to the ethical conduct of research. Specifically, it calls for researchers to be "mindful of the relationship and perhaps dependency" that users develop with robots. This includes the implementation of </w:t>
      </w:r>
      <w:r w:rsidDel="00000000" w:rsidR="00000000" w:rsidRPr="00000000">
        <w:rPr>
          <w:rFonts w:ascii="Google Sans Text" w:cs="Google Sans Text" w:eastAsia="Google Sans Text" w:hAnsi="Google Sans Text"/>
          <w:b w:val="1"/>
          <w:bCs w:val="1"/>
          <w:rtl w:val="0"/>
        </w:rPr>
        <w:t xml:space="preserve">"mindful exit procedures"</w:t>
      </w:r>
      <w:r w:rsidDel="00000000" w:rsidR="00000000" w:rsidRPr="00000000">
        <w:rPr>
          <w:rFonts w:ascii="Google Sans Text" w:cs="Google Sans Text" w:eastAsia="Google Sans Text" w:hAnsi="Google Sans Text"/>
          <w:rtl w:val="0"/>
        </w:rPr>
        <w:t xml:space="preserve"> to ensure that users continue to feel supported after a robotic study ends, particularly in sensitive populations where social-emotional vulnerabilities exist.</w:t>
      </w:r>
    </w:p>
    <w:p w:rsidR="00000000" w:rsidDel="00000000" w:rsidP="00000000" w:rsidRDefault="00000000" w:rsidRPr="00000000" w14:paraId="0000000C">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4. Contrast with "Mind Attribution"</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While mindfulness is a state of user awareness, the reference matrix itself focuses on </w:t>
      </w:r>
      <w:r w:rsidDel="00000000" w:rsidR="00000000" w:rsidRPr="00000000">
        <w:rPr>
          <w:rFonts w:ascii="Google Sans Text" w:cs="Google Sans Text" w:eastAsia="Google Sans Text" w:hAnsi="Google Sans Text"/>
          <w:b w:val="1"/>
          <w:bCs w:val="1"/>
          <w:rtl w:val="0"/>
        </w:rPr>
        <w:t xml:space="preserve">Mind Attribution</w:t>
      </w:r>
      <w:r w:rsidDel="00000000" w:rsidR="00000000" w:rsidRPr="00000000">
        <w:rPr>
          <w:rFonts w:ascii="Google Sans Text" w:cs="Google Sans Text" w:eastAsia="Google Sans Text" w:hAnsi="Google Sans Text"/>
          <w:rtl w:val="0"/>
        </w:rPr>
        <w:t xml:space="preserve">—the technical and psychological mechanism of perceiving machine agency. </w:t>
      </w:r>
      <w:r w:rsidDel="00000000" w:rsidR="00000000" w:rsidRPr="00000000">
        <w:rPr>
          <w:rFonts w:ascii="Google Sans Text" w:cs="Google Sans Text" w:eastAsia="Google Sans Text" w:hAnsi="Google Sans Text"/>
          <w:sz w:val="24"/>
          <w:szCs w:val="24"/>
          <w:vertAlign w:val="superscript"/>
          <w:rtl w:val="0"/>
        </w:rPr>
        <w:t xml:space="preserve">1</w:t>
      </w:r>
      <w:r w:rsidDel="00000000" w:rsidR="00000000" w:rsidRPr="00000000">
        <w:rPr>
          <w:rFonts w:ascii="Google Sans Text" w:cs="Google Sans Text" w:eastAsia="Google Sans Text" w:hAnsi="Google Sans Text"/>
          <w:rtl w:val="0"/>
        </w:rPr>
        <w:t xml:space="preserve"> This is attributed to </w:t>
      </w:r>
      <w:r w:rsidDel="00000000" w:rsidR="00000000" w:rsidRPr="00000000">
        <w:rPr>
          <w:rFonts w:ascii="Google Sans Text" w:cs="Google Sans Text" w:eastAsia="Google Sans Text" w:hAnsi="Google Sans Text"/>
          <w:b w:val="1"/>
          <w:bCs w:val="1"/>
          <w:rtl w:val="0"/>
        </w:rPr>
        <w:t xml:space="preserve">Theory of Mind (ToM)</w:t>
      </w:r>
      <w:r w:rsidDel="00000000" w:rsidR="00000000" w:rsidRPr="00000000">
        <w:rPr>
          <w:rFonts w:ascii="Google Sans Text" w:cs="Google Sans Text" w:eastAsia="Google Sans Text" w:hAnsi="Google Sans Text"/>
          <w:rtl w:val="0"/>
        </w:rPr>
        <w:t xml:space="preserve"> frameworks (Leslie, 2001) and simulated thought processes (Zelikman et al., 2024), where the agent is designed to "think before speaking." Mindfulness acts as the human cognitive counterpart that determines how these attributes are processed and internalized by the user.</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rPr>
          <w:rFonts w:ascii="Google Sans Text" w:cs="Google Sans Text" w:eastAsia="Google Sans Text" w:hAnsi="Google Sans Text"/>
        </w:rPr>
      </w:pPr>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