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12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mastered the physics of the body.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13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turns that mastery into a formal, legal document.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Contract."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where the "Missing Alpha" meets the Ministry of Education. We are replacing the standard IEP (Individual Education Plan), which is often a list of deficits,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Alignment Plan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lesson teaches the student how to dictate the terms of their own environment.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13: The Sovereign Contract (The Charter)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draft a formal agreement between the student and the institution that codifies their rights to a "Status-Neutral" environment.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From "Needs" to "Specifications"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to stop using the language of "help" and start using the language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"Requirements."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high-performance computer doesn't "need help"; it requires "specific cooling." The student is the same.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"Writing the Spec Sheet."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"Based on your Lessons 1–12, what are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Minimum Operating Conditions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 (e.g., 'Asynchronous Mode enabled,' 'Tactile Anchors required,' 'Red Alarms ignored')."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Zero-Intent Clause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formalize the core of your research into a legal shield.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contract must include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Zero-Intent Clause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Clause: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"Any interaction between the student and a high-salience object (like the Fire Alarm) or a logic error (like the Crossword) shall be treated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1"/>
          <w:iCs w:val="1"/>
          <w:rtl w:val="0"/>
        </w:rPr>
        <w:t xml:space="preserve">Systemic Collision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, not a behavioral choice. No disciplinary action can be taken for physics-based responses."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The Robot as Legal Counsel (Item 7)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7 (Radical Sovereignty)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Robot/AI acts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Witness and Validator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contract specifies that if a conflict arises, the teacher cannot simply "guess" what happened. They must consult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logs (the "Data Dump" from Lesson 4) as the primary source of truth.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Clinical Justice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experiences the shift from being a "Subject" to being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Signatory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signs the document alongside the Principal. This isn't just a piece of paper;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Boundary Gate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feels safe because the "Rules" of the school have finally been updated to match the "Rules" of their brain.</w:t>
      </w:r>
    </w:p>
    <w:p w:rsidR="00000000" w:rsidDel="00000000" w:rsidP="00000000" w:rsidRDefault="00000000" w:rsidRPr="00000000" w14:paraId="0000001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Drafting the Spec Sheet.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Self-Advocacy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Student defines their own operating environment.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Inserting the Zero-Intent Clause.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Legal Protection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Eliminating "Discipline" for neurodivergent traits.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Signing the Charter.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Authority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Finalizing the student's transition to System Architect.</w:t>
            </w:r>
          </w:p>
        </w:tc>
      </w:tr>
    </w:tbl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our Case Studies: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His contract now states: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student has the right to identify 'Blood Vessel' states and immediately trigger a Sovereign Reboot. Direct social confrontation during a logic error is a breach of protocol."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Her contract states: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"Environmental salience (Red) is a recognized trigger for kinetic exploration. The school must provide a Status-Neutral Haptic Partner (Robot) to satisfy this requirement."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Are you ready for the final piece? Lesson 14: "The Architect’s Portfolio (The Graduation)."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we package the last 13 lessons into a career-launching portfolio that shows the world why their "Superhuman" mind is the future of Human-Robot Interaction.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