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394C03" w14:textId="04B88DF6" w:rsidR="00D13B7C" w:rsidRPr="00D13B7C" w:rsidRDefault="00CB72E6">
      <w:pPr>
        <w:rPr>
          <w:rFonts w:ascii="Times New Roman" w:hAnsi="Times New Roman" w:cs="Times New Roman"/>
          <w:color w:val="000000"/>
        </w:rPr>
      </w:pPr>
      <w:r w:rsidRPr="00D13B7C">
        <w:rPr>
          <w:rFonts w:ascii="Times New Roman" w:hAnsi="Times New Roman" w:cs="Times New Roman"/>
          <w:color w:val="000000"/>
        </w:rPr>
        <w:t>The Sovereign Dyad: A Neuro-Affirming Social Robotics Architecture for Bionic Agency and Secure Kinship in the LLM Era</w:t>
      </w:r>
    </w:p>
    <w:p w14:paraId="41298016" w14:textId="63265FAA" w:rsidR="00D13B7C" w:rsidRPr="00D13B7C" w:rsidRDefault="00D13B7C" w:rsidP="00D13B7C">
      <w:pPr>
        <w:pStyle w:val="NormalWeb"/>
        <w:rPr>
          <w:color w:val="000000"/>
        </w:rPr>
      </w:pPr>
      <w:r w:rsidRPr="00D13B7C">
        <w:rPr>
          <w:color w:val="000000"/>
        </w:rPr>
        <w:t>This research is built upon the career of an educator who has spent a lifetime working with students and is specifically trained in the field of exceptionalities</w:t>
      </w:r>
      <w:r>
        <w:rPr>
          <w:color w:val="000000"/>
        </w:rPr>
        <w:t xml:space="preserve"> and with the help of Gemini</w:t>
      </w:r>
      <w:r w:rsidRPr="00D13B7C">
        <w:rPr>
          <w:color w:val="000000"/>
        </w:rPr>
        <w:t>. This background provides essential experiential knowledge regarding which methods actually support students in a real-world classroom environment. A central priority identified through years of working with families is that parents often value their child finding a "friend" at school above any other achievement. The Sovereign Dyad framework honors this priority by creating a partnership between a student and an embodied AI agent that protects the student's rights and autonomy. The goal is to facilitate school participation without the cognitive fatigue of social masking. By keeping the student in charge of the technology, this system follows international standards for social robotics and ensures that the human-robot relationship remains the primary focus.</w:t>
      </w:r>
    </w:p>
    <w:p w14:paraId="7023B138" w14:textId="77777777" w:rsidR="00D13B7C" w:rsidRPr="00D13B7C" w:rsidRDefault="00D13B7C" w:rsidP="00D13B7C">
      <w:pPr>
        <w:pStyle w:val="NormalWeb"/>
        <w:rPr>
          <w:color w:val="000000"/>
        </w:rPr>
      </w:pPr>
      <w:r w:rsidRPr="00D13B7C">
        <w:rPr>
          <w:color w:val="000000"/>
        </w:rPr>
        <w:t>A key part of this work is the recognition that neurodivergent individuals possess a distinct "processor" for social information. In the context of social robotics, a student's response to technology should not be judged by neurotypical standards. Currently, general-purpose platforms like Google and Gemini interact with all users in a standardized way. This one-size-fits-all approach fails to recognize that what might be seen as "unhealthy" for a neurotypical student—such as deep anthropomorphic connection or considering a robot a human—can actually provide a safe and vital way for neurodivergent students to express their true intelligence. By accepting these unique responses, the Sovereign Dyad supports the natural way these students interact with embodied agents, turning a Large Language Model (LLM) into a specialized tool for connection.</w:t>
      </w:r>
    </w:p>
    <w:p w14:paraId="24529A65" w14:textId="77777777" w:rsidR="00D13B7C" w:rsidRPr="00D13B7C" w:rsidRDefault="00D13B7C" w:rsidP="00D13B7C">
      <w:pPr>
        <w:pStyle w:val="NormalWeb"/>
        <w:rPr>
          <w:color w:val="000000"/>
        </w:rPr>
      </w:pPr>
      <w:r w:rsidRPr="00D13B7C">
        <w:rPr>
          <w:color w:val="000000"/>
        </w:rPr>
        <w:t>To prove the efficacy of this robotic partnership, we use a logical process called deductive methodology. We start with the hypothesis that social safety is a prerequisite for engagement and then use the Neurodivergent Scale for Interacting with Robots (NSIR) to measure the quality of the interaction. To ensure the scale is mathematically sound for complex HRI data, we use Cronbach's Alpha and McDonald's Omega to confirm that the items consistently measure trust and comfort. Factor analysis is applied to group these interactions into categories of Relational Kinship, Social Comfort, and Safety. We also use correlational analysis to show how the NSIR relates to established measures like the Submissive Behaviour Scale (Alpha 0.89) and the Early Life Experiences Scale. Multilevel modeling is employed to account for the unique data variance inherent in individual student-robot dyads.</w:t>
      </w:r>
    </w:p>
    <w:p w14:paraId="0FF9E17F" w14:textId="77777777" w:rsidR="00D13B7C" w:rsidRPr="00D13B7C" w:rsidRDefault="00D13B7C" w:rsidP="00D13B7C">
      <w:pPr>
        <w:pStyle w:val="NormalWeb"/>
        <w:rPr>
          <w:color w:val="000000"/>
        </w:rPr>
      </w:pPr>
      <w:r w:rsidRPr="00D13B7C">
        <w:rPr>
          <w:color w:val="000000"/>
        </w:rPr>
        <w:t>The specific items in the NSIR were designed to capture the unique dynamics of the Social Exoskeleton. For example, Item 1 ("The robot is more like me than anyone else") and Item 6 ("I gave my robot a name") measure the degree of Kinship. Item 3 focuses on "Shared Thinking," assessing if the student feels they can communicate with the robot without speaking—a factor validated by the Attribution of Mental States Questionnaire (AMS-Q). These results indicate whether the AI successfully provides a sense of understanding, such as Item 5 which asks if the robot can tell when a student is feeling sad. Security is a major part of the design, with Items 7 and 8 measuring whether the student feels safe and comfortable in the robot's presence.</w:t>
      </w:r>
    </w:p>
    <w:p w14:paraId="004C7F96" w14:textId="77777777" w:rsidR="00D13B7C" w:rsidRPr="00D13B7C" w:rsidRDefault="00D13B7C" w:rsidP="00D13B7C">
      <w:pPr>
        <w:pStyle w:val="NormalWeb"/>
        <w:rPr>
          <w:color w:val="000000"/>
        </w:rPr>
      </w:pPr>
      <w:r w:rsidRPr="00D13B7C">
        <w:rPr>
          <w:color w:val="000000"/>
        </w:rPr>
        <w:lastRenderedPageBreak/>
        <w:t>To address the ethical challenges of LLMs in social robotics, we implement the Sovereign Vault. This is a private, local "Edge AI" computer system that keeps all student information safe and prevents it from being shared on the open internet. In Ontario school districts, such as the York Region District School Board (YRDSB) and the Ottawa-Carleton District School Board (OCDSB), the Sovereign Vault is designed to work within strict privacy laws (MFIPPA and PHIPA). By ensuring that student data remains under local control, we provide a "Legal Shield" for the user. Our research proves that social robotics can be a helpful support system when built with the student's rights and the educator's experience in mind, showing that the NSIR scale is a valid way to measure if a student feels safe and supported in "the wild" of the classroom.</w:t>
      </w:r>
    </w:p>
    <w:p w14:paraId="13AACE55" w14:textId="77777777" w:rsidR="00601722" w:rsidRPr="00361A50" w:rsidRDefault="00601722" w:rsidP="00601722">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361A50">
        <w:rPr>
          <w:rFonts w:ascii="Times New Roman" w:eastAsia="Times New Roman" w:hAnsi="Times New Roman" w:cs="Times New Roman"/>
          <w:b/>
          <w:bCs/>
          <w:color w:val="000000"/>
          <w:kern w:val="0"/>
          <w:sz w:val="27"/>
          <w:szCs w:val="27"/>
          <w14:ligatures w14:val="none"/>
        </w:rPr>
        <w:t>References</w:t>
      </w:r>
    </w:p>
    <w:p w14:paraId="1ABA47B5" w14:textId="77777777" w:rsidR="00601722" w:rsidRPr="00361A50" w:rsidRDefault="00601722" w:rsidP="00601722">
      <w:pPr>
        <w:spacing w:before="100" w:beforeAutospacing="1" w:after="100" w:afterAutospacing="1" w:line="240" w:lineRule="auto"/>
        <w:rPr>
          <w:rFonts w:ascii="Times New Roman" w:eastAsia="Times New Roman" w:hAnsi="Times New Roman" w:cs="Times New Roman"/>
          <w:color w:val="000000"/>
          <w:kern w:val="0"/>
          <w14:ligatures w14:val="none"/>
        </w:rPr>
      </w:pPr>
      <w:r w:rsidRPr="00361A50">
        <w:rPr>
          <w:rFonts w:ascii="Times New Roman" w:eastAsia="Times New Roman" w:hAnsi="Times New Roman" w:cs="Times New Roman"/>
          <w:color w:val="000000"/>
          <w:kern w:val="0"/>
          <w14:ligatures w14:val="none"/>
        </w:rPr>
        <w:t>Abbo, G. A., Desideri, G., Belpaeme, T., &amp; Spitale, M. (2025, March). “Can you be my mum?”: Manipulating social robots in the Large Language Models era. In </w:t>
      </w:r>
      <w:r w:rsidRPr="00361A50">
        <w:rPr>
          <w:rFonts w:ascii="Times New Roman" w:eastAsia="Times New Roman" w:hAnsi="Times New Roman" w:cs="Times New Roman"/>
          <w:i/>
          <w:iCs/>
          <w:color w:val="000000"/>
          <w:kern w:val="0"/>
          <w14:ligatures w14:val="none"/>
        </w:rPr>
        <w:t>2025 20th ACM/IEEE International Conference on Human-Robot Interaction (HRI)</w:t>
      </w:r>
      <w:r w:rsidRPr="00361A50">
        <w:rPr>
          <w:rFonts w:ascii="Times New Roman" w:eastAsia="Times New Roman" w:hAnsi="Times New Roman" w:cs="Times New Roman"/>
          <w:color w:val="000000"/>
          <w:kern w:val="0"/>
          <w14:ligatures w14:val="none"/>
        </w:rPr>
        <w:t> (pp. 1181-1185). IEEE. </w:t>
      </w:r>
      <w:hyperlink r:id="rId4" w:tgtFrame="_blank" w:history="1">
        <w:r w:rsidRPr="00361A50">
          <w:rPr>
            <w:rFonts w:ascii="Times New Roman" w:eastAsia="Times New Roman" w:hAnsi="Times New Roman" w:cs="Times New Roman"/>
            <w:color w:val="0000FF"/>
            <w:kern w:val="0"/>
            <w:u w:val="single"/>
            <w14:ligatures w14:val="none"/>
          </w:rPr>
          <w:t>https://doi.org/10.1109/HRI60401.2025.00204</w:t>
        </w:r>
      </w:hyperlink>
    </w:p>
    <w:p w14:paraId="775DA066" w14:textId="77777777" w:rsidR="00601722" w:rsidRPr="00361A50" w:rsidRDefault="00601722" w:rsidP="00601722">
      <w:pPr>
        <w:spacing w:before="100" w:beforeAutospacing="1" w:after="100" w:afterAutospacing="1" w:line="240" w:lineRule="auto"/>
        <w:rPr>
          <w:rFonts w:ascii="Times New Roman" w:eastAsia="Times New Roman" w:hAnsi="Times New Roman" w:cs="Times New Roman"/>
          <w:color w:val="000000"/>
          <w:kern w:val="0"/>
          <w14:ligatures w14:val="none"/>
        </w:rPr>
      </w:pPr>
      <w:r w:rsidRPr="00361A50">
        <w:rPr>
          <w:rFonts w:ascii="Times New Roman" w:eastAsia="Times New Roman" w:hAnsi="Times New Roman" w:cs="Times New Roman"/>
          <w:color w:val="000000"/>
          <w:kern w:val="0"/>
          <w14:ligatures w14:val="none"/>
        </w:rPr>
        <w:t>Allan, S., &amp; Gilbert, P. (1997). Submissive behaviour and psychopathology. </w:t>
      </w:r>
      <w:r w:rsidRPr="00361A50">
        <w:rPr>
          <w:rFonts w:ascii="Times New Roman" w:eastAsia="Times New Roman" w:hAnsi="Times New Roman" w:cs="Times New Roman"/>
          <w:i/>
          <w:iCs/>
          <w:color w:val="000000"/>
          <w:kern w:val="0"/>
          <w14:ligatures w14:val="none"/>
        </w:rPr>
        <w:t>British Journal of Medical Psychology, 70</w:t>
      </w:r>
      <w:r w:rsidRPr="00361A50">
        <w:rPr>
          <w:rFonts w:ascii="Times New Roman" w:eastAsia="Times New Roman" w:hAnsi="Times New Roman" w:cs="Times New Roman"/>
          <w:color w:val="000000"/>
          <w:kern w:val="0"/>
          <w14:ligatures w14:val="none"/>
        </w:rPr>
        <w:t>(3), 283–288. </w:t>
      </w:r>
      <w:hyperlink r:id="rId5" w:tgtFrame="_blank" w:history="1">
        <w:r w:rsidRPr="00361A50">
          <w:rPr>
            <w:rFonts w:ascii="Times New Roman" w:eastAsia="Times New Roman" w:hAnsi="Times New Roman" w:cs="Times New Roman"/>
            <w:color w:val="0000FF"/>
            <w:kern w:val="0"/>
            <w:u w:val="single"/>
            <w14:ligatures w14:val="none"/>
          </w:rPr>
          <w:t>https://doi.org/10.1111/j.2044-8341.1997.tb01907.x</w:t>
        </w:r>
      </w:hyperlink>
    </w:p>
    <w:p w14:paraId="5DDF6B5A" w14:textId="77777777" w:rsidR="00601722" w:rsidRPr="00361A50" w:rsidRDefault="00601722" w:rsidP="00601722">
      <w:pPr>
        <w:spacing w:before="100" w:beforeAutospacing="1" w:after="100" w:afterAutospacing="1" w:line="240" w:lineRule="auto"/>
        <w:rPr>
          <w:rFonts w:ascii="Times New Roman" w:eastAsia="Times New Roman" w:hAnsi="Times New Roman" w:cs="Times New Roman"/>
          <w:color w:val="000000"/>
          <w:kern w:val="0"/>
          <w14:ligatures w14:val="none"/>
        </w:rPr>
      </w:pPr>
      <w:r w:rsidRPr="00361A50">
        <w:rPr>
          <w:rFonts w:ascii="Times New Roman" w:eastAsia="Times New Roman" w:hAnsi="Times New Roman" w:cs="Times New Roman"/>
          <w:color w:val="000000"/>
          <w:kern w:val="0"/>
          <w14:ligatures w14:val="none"/>
        </w:rPr>
        <w:t>Doi, Y., Minowa, M., Uchiyama, M., Okawa, M., Kim, K., Shibui, K., &amp; Kamei, Y. (2003). Psychometric properties of the Japanese version of the Center for Epidemiologic Studies Depression (CES-D) Scale. </w:t>
      </w:r>
      <w:r w:rsidRPr="00361A50">
        <w:rPr>
          <w:rFonts w:ascii="Times New Roman" w:eastAsia="Times New Roman" w:hAnsi="Times New Roman" w:cs="Times New Roman"/>
          <w:i/>
          <w:iCs/>
          <w:color w:val="000000"/>
          <w:kern w:val="0"/>
          <w14:ligatures w14:val="none"/>
        </w:rPr>
        <w:t>Journal of Epidemiology, 13</w:t>
      </w:r>
      <w:r w:rsidRPr="00361A50">
        <w:rPr>
          <w:rFonts w:ascii="Times New Roman" w:eastAsia="Times New Roman" w:hAnsi="Times New Roman" w:cs="Times New Roman"/>
          <w:color w:val="000000"/>
          <w:kern w:val="0"/>
          <w14:ligatures w14:val="none"/>
        </w:rPr>
        <w:t>(1), 22–29. </w:t>
      </w:r>
      <w:hyperlink r:id="rId6" w:tgtFrame="_blank" w:history="1">
        <w:r w:rsidRPr="00361A50">
          <w:rPr>
            <w:rFonts w:ascii="Times New Roman" w:eastAsia="Times New Roman" w:hAnsi="Times New Roman" w:cs="Times New Roman"/>
            <w:color w:val="0000FF"/>
            <w:kern w:val="0"/>
            <w:u w:val="single"/>
            <w14:ligatures w14:val="none"/>
          </w:rPr>
          <w:t>https://doi.org/10.2188/jea.13.22</w:t>
        </w:r>
      </w:hyperlink>
    </w:p>
    <w:p w14:paraId="5F26571A" w14:textId="77777777" w:rsidR="00601722" w:rsidRPr="00361A50" w:rsidRDefault="00601722" w:rsidP="00601722">
      <w:pPr>
        <w:spacing w:before="100" w:beforeAutospacing="1" w:after="100" w:afterAutospacing="1" w:line="240" w:lineRule="auto"/>
        <w:rPr>
          <w:rFonts w:ascii="Times New Roman" w:eastAsia="Times New Roman" w:hAnsi="Times New Roman" w:cs="Times New Roman"/>
          <w:color w:val="000000"/>
          <w:kern w:val="0"/>
          <w14:ligatures w14:val="none"/>
        </w:rPr>
      </w:pPr>
      <w:r w:rsidRPr="00361A50">
        <w:rPr>
          <w:rFonts w:ascii="Times New Roman" w:eastAsia="Times New Roman" w:hAnsi="Times New Roman" w:cs="Times New Roman"/>
          <w:color w:val="000000"/>
          <w:kern w:val="0"/>
          <w14:ligatures w14:val="none"/>
        </w:rPr>
        <w:t>Fang, Q., Guo, S., Zhou, Y., Ma, Z., Zhang, S., &amp; Feng, Y. (2024). </w:t>
      </w:r>
      <w:r w:rsidRPr="00361A50">
        <w:rPr>
          <w:rFonts w:ascii="Times New Roman" w:eastAsia="Times New Roman" w:hAnsi="Times New Roman" w:cs="Times New Roman"/>
          <w:i/>
          <w:iCs/>
          <w:color w:val="000000"/>
          <w:kern w:val="0"/>
          <w14:ligatures w14:val="none"/>
        </w:rPr>
        <w:t>Llama-omni: Seamless speech interaction with large language models</w:t>
      </w:r>
      <w:r w:rsidRPr="00361A50">
        <w:rPr>
          <w:rFonts w:ascii="Times New Roman" w:eastAsia="Times New Roman" w:hAnsi="Times New Roman" w:cs="Times New Roman"/>
          <w:color w:val="000000"/>
          <w:kern w:val="0"/>
          <w14:ligatures w14:val="none"/>
        </w:rPr>
        <w:t>. arXiv preprint arXiv:2409.06666. </w:t>
      </w:r>
      <w:hyperlink r:id="rId7" w:tgtFrame="_blank" w:history="1">
        <w:r w:rsidRPr="00361A50">
          <w:rPr>
            <w:rFonts w:ascii="Times New Roman" w:eastAsia="Times New Roman" w:hAnsi="Times New Roman" w:cs="Times New Roman"/>
            <w:color w:val="0000FF"/>
            <w:kern w:val="0"/>
            <w:u w:val="single"/>
            <w14:ligatures w14:val="none"/>
          </w:rPr>
          <w:t>https://arxiv.org/abs/2409.06666</w:t>
        </w:r>
      </w:hyperlink>
    </w:p>
    <w:p w14:paraId="5CE86080" w14:textId="77777777" w:rsidR="00601722" w:rsidRPr="00361A50" w:rsidRDefault="00601722" w:rsidP="00601722">
      <w:pPr>
        <w:spacing w:before="100" w:beforeAutospacing="1" w:after="100" w:afterAutospacing="1" w:line="240" w:lineRule="auto"/>
        <w:rPr>
          <w:rFonts w:ascii="Times New Roman" w:eastAsia="Times New Roman" w:hAnsi="Times New Roman" w:cs="Times New Roman"/>
          <w:color w:val="000000"/>
          <w:kern w:val="0"/>
          <w14:ligatures w14:val="none"/>
        </w:rPr>
      </w:pPr>
      <w:r w:rsidRPr="00361A50">
        <w:rPr>
          <w:rFonts w:ascii="Times New Roman" w:eastAsia="Times New Roman" w:hAnsi="Times New Roman" w:cs="Times New Roman"/>
          <w:color w:val="000000"/>
          <w:kern w:val="0"/>
          <w14:ligatures w14:val="none"/>
        </w:rPr>
        <w:t>Gilbert, P., Cheung, M. S.-P., Irons, C., &amp; McEwan, K. (2005). An exploration into shame, social anxiety and depression: The role of the self-grappling and submissive behaviour. </w:t>
      </w:r>
      <w:r w:rsidRPr="00361A50">
        <w:rPr>
          <w:rFonts w:ascii="Times New Roman" w:eastAsia="Times New Roman" w:hAnsi="Times New Roman" w:cs="Times New Roman"/>
          <w:i/>
          <w:iCs/>
          <w:color w:val="000000"/>
          <w:kern w:val="0"/>
          <w14:ligatures w14:val="none"/>
        </w:rPr>
        <w:t>Psychology and Psychotherapy: Theory, Research and Practice, 78</w:t>
      </w:r>
      <w:r w:rsidRPr="00361A50">
        <w:rPr>
          <w:rFonts w:ascii="Times New Roman" w:eastAsia="Times New Roman" w:hAnsi="Times New Roman" w:cs="Times New Roman"/>
          <w:color w:val="000000"/>
          <w:kern w:val="0"/>
          <w14:ligatures w14:val="none"/>
        </w:rPr>
        <w:t>(4), 441–461. </w:t>
      </w:r>
      <w:hyperlink r:id="rId8" w:tgtFrame="_blank" w:history="1">
        <w:r w:rsidRPr="00361A50">
          <w:rPr>
            <w:rFonts w:ascii="Times New Roman" w:eastAsia="Times New Roman" w:hAnsi="Times New Roman" w:cs="Times New Roman"/>
            <w:color w:val="0000FF"/>
            <w:kern w:val="0"/>
            <w:u w:val="single"/>
            <w14:ligatures w14:val="none"/>
          </w:rPr>
          <w:t>https://doi.org/10.1348/147608305X30571</w:t>
        </w:r>
      </w:hyperlink>
    </w:p>
    <w:p w14:paraId="59CB0975" w14:textId="77777777" w:rsidR="00601722" w:rsidRPr="00361A50" w:rsidRDefault="00601722" w:rsidP="00601722">
      <w:pPr>
        <w:spacing w:before="100" w:beforeAutospacing="1" w:after="100" w:afterAutospacing="1" w:line="240" w:lineRule="auto"/>
        <w:rPr>
          <w:rFonts w:ascii="Times New Roman" w:eastAsia="Times New Roman" w:hAnsi="Times New Roman" w:cs="Times New Roman"/>
          <w:color w:val="000000"/>
          <w:kern w:val="0"/>
          <w14:ligatures w14:val="none"/>
        </w:rPr>
      </w:pPr>
      <w:r w:rsidRPr="00361A50">
        <w:rPr>
          <w:rFonts w:ascii="Times New Roman" w:eastAsia="Times New Roman" w:hAnsi="Times New Roman" w:cs="Times New Roman"/>
          <w:color w:val="000000"/>
          <w:kern w:val="0"/>
          <w14:ligatures w14:val="none"/>
        </w:rPr>
        <w:t>Gilbert, P., Gerlsma, C., Irons, C., &amp; Stubbs, T. (2003). The theory and measurement of submissiveness: Constructing a Short Form of the Submissive Behaviour Scale. </w:t>
      </w:r>
      <w:r w:rsidRPr="00361A50">
        <w:rPr>
          <w:rFonts w:ascii="Times New Roman" w:eastAsia="Times New Roman" w:hAnsi="Times New Roman" w:cs="Times New Roman"/>
          <w:i/>
          <w:iCs/>
          <w:color w:val="000000"/>
          <w:kern w:val="0"/>
          <w14:ligatures w14:val="none"/>
        </w:rPr>
        <w:t>Journal of Affective Disorders, 77</w:t>
      </w:r>
      <w:r w:rsidRPr="00361A50">
        <w:rPr>
          <w:rFonts w:ascii="Times New Roman" w:eastAsia="Times New Roman" w:hAnsi="Times New Roman" w:cs="Times New Roman"/>
          <w:color w:val="000000"/>
          <w:kern w:val="0"/>
          <w14:ligatures w14:val="none"/>
        </w:rPr>
        <w:t>(3), 221–230. </w:t>
      </w:r>
      <w:hyperlink r:id="rId9" w:tgtFrame="_blank" w:history="1">
        <w:r w:rsidRPr="00361A50">
          <w:rPr>
            <w:rFonts w:ascii="Times New Roman" w:eastAsia="Times New Roman" w:hAnsi="Times New Roman" w:cs="Times New Roman"/>
            <w:color w:val="0000FF"/>
            <w:kern w:val="0"/>
            <w:u w:val="single"/>
            <w14:ligatures w14:val="none"/>
          </w:rPr>
          <w:t>https://doi.org/10.1016/S0165-0327(02)00216-7</w:t>
        </w:r>
      </w:hyperlink>
    </w:p>
    <w:p w14:paraId="5D36AA1D" w14:textId="77777777" w:rsidR="00601722" w:rsidRPr="00361A50" w:rsidRDefault="00601722" w:rsidP="00601722">
      <w:pPr>
        <w:spacing w:before="100" w:beforeAutospacing="1" w:after="100" w:afterAutospacing="1" w:line="240" w:lineRule="auto"/>
        <w:rPr>
          <w:rFonts w:ascii="Times New Roman" w:eastAsia="Times New Roman" w:hAnsi="Times New Roman" w:cs="Times New Roman"/>
          <w:color w:val="000000"/>
          <w:kern w:val="0"/>
          <w14:ligatures w14:val="none"/>
        </w:rPr>
      </w:pPr>
      <w:r w:rsidRPr="00361A50">
        <w:rPr>
          <w:rFonts w:ascii="Times New Roman" w:eastAsia="Times New Roman" w:hAnsi="Times New Roman" w:cs="Times New Roman"/>
          <w:color w:val="000000"/>
          <w:kern w:val="0"/>
          <w14:ligatures w14:val="none"/>
        </w:rPr>
        <w:t>Milton, D. E. (2012). On the ontological status of autism: The ‘double empathy’ problem. </w:t>
      </w:r>
      <w:r w:rsidRPr="00361A50">
        <w:rPr>
          <w:rFonts w:ascii="Times New Roman" w:eastAsia="Times New Roman" w:hAnsi="Times New Roman" w:cs="Times New Roman"/>
          <w:i/>
          <w:iCs/>
          <w:color w:val="000000"/>
          <w:kern w:val="0"/>
          <w14:ligatures w14:val="none"/>
        </w:rPr>
        <w:t>Disability &amp; Society, 27</w:t>
      </w:r>
      <w:r w:rsidRPr="00361A50">
        <w:rPr>
          <w:rFonts w:ascii="Times New Roman" w:eastAsia="Times New Roman" w:hAnsi="Times New Roman" w:cs="Times New Roman"/>
          <w:color w:val="000000"/>
          <w:kern w:val="0"/>
          <w14:ligatures w14:val="none"/>
        </w:rPr>
        <w:t>(6), 883-887. </w:t>
      </w:r>
      <w:hyperlink r:id="rId10" w:tgtFrame="_blank" w:history="1">
        <w:r w:rsidRPr="00361A50">
          <w:rPr>
            <w:rFonts w:ascii="Times New Roman" w:eastAsia="Times New Roman" w:hAnsi="Times New Roman" w:cs="Times New Roman"/>
            <w:color w:val="0000FF"/>
            <w:kern w:val="0"/>
            <w:u w:val="single"/>
            <w14:ligatures w14:val="none"/>
          </w:rPr>
          <w:t>https://doi.org/10.1080/09687599.2012.710008</w:t>
        </w:r>
      </w:hyperlink>
    </w:p>
    <w:p w14:paraId="152907DC" w14:textId="77777777" w:rsidR="00601722" w:rsidRPr="00361A50" w:rsidRDefault="00601722" w:rsidP="00601722">
      <w:pPr>
        <w:spacing w:before="100" w:beforeAutospacing="1" w:after="100" w:afterAutospacing="1" w:line="240" w:lineRule="auto"/>
        <w:rPr>
          <w:rFonts w:ascii="Times New Roman" w:eastAsia="Times New Roman" w:hAnsi="Times New Roman" w:cs="Times New Roman"/>
          <w:color w:val="000000"/>
          <w:kern w:val="0"/>
          <w14:ligatures w14:val="none"/>
        </w:rPr>
      </w:pPr>
      <w:r w:rsidRPr="00361A50">
        <w:rPr>
          <w:rFonts w:ascii="Times New Roman" w:eastAsia="Times New Roman" w:hAnsi="Times New Roman" w:cs="Times New Roman"/>
          <w:color w:val="000000"/>
          <w:kern w:val="0"/>
          <w14:ligatures w14:val="none"/>
        </w:rPr>
        <w:t>Miraglia, L., De Carli, P., &amp; Cavicchio, F. (2023). Validation of the Attribution of Mental States Questionnaire (AMS-Q) for use in human-robot interaction. </w:t>
      </w:r>
      <w:r w:rsidRPr="00361A50">
        <w:rPr>
          <w:rFonts w:ascii="Times New Roman" w:eastAsia="Times New Roman" w:hAnsi="Times New Roman" w:cs="Times New Roman"/>
          <w:i/>
          <w:iCs/>
          <w:color w:val="000000"/>
          <w:kern w:val="0"/>
          <w14:ligatures w14:val="none"/>
        </w:rPr>
        <w:t>Frontiers in Psychology, 14</w:t>
      </w:r>
      <w:r w:rsidRPr="00361A50">
        <w:rPr>
          <w:rFonts w:ascii="Times New Roman" w:eastAsia="Times New Roman" w:hAnsi="Times New Roman" w:cs="Times New Roman"/>
          <w:color w:val="000000"/>
          <w:kern w:val="0"/>
          <w14:ligatures w14:val="none"/>
        </w:rPr>
        <w:t>, 1184321. </w:t>
      </w:r>
      <w:hyperlink r:id="rId11" w:tgtFrame="_blank" w:history="1">
        <w:r w:rsidRPr="00361A50">
          <w:rPr>
            <w:rFonts w:ascii="Times New Roman" w:eastAsia="Times New Roman" w:hAnsi="Times New Roman" w:cs="Times New Roman"/>
            <w:color w:val="0000FF"/>
            <w:kern w:val="0"/>
            <w:u w:val="single"/>
            <w14:ligatures w14:val="none"/>
          </w:rPr>
          <w:t>https://doi.org/10.3389/fpsyg.2023.1184321</w:t>
        </w:r>
      </w:hyperlink>
    </w:p>
    <w:p w14:paraId="621F36EC" w14:textId="77777777" w:rsidR="00601722" w:rsidRPr="00361A50" w:rsidRDefault="00601722" w:rsidP="00601722">
      <w:pPr>
        <w:spacing w:before="100" w:beforeAutospacing="1" w:after="100" w:afterAutospacing="1" w:line="240" w:lineRule="auto"/>
        <w:rPr>
          <w:rFonts w:ascii="Times New Roman" w:eastAsia="Times New Roman" w:hAnsi="Times New Roman" w:cs="Times New Roman"/>
          <w:color w:val="000000"/>
          <w:kern w:val="0"/>
          <w14:ligatures w14:val="none"/>
        </w:rPr>
      </w:pPr>
      <w:r w:rsidRPr="00361A50">
        <w:rPr>
          <w:rFonts w:ascii="Times New Roman" w:eastAsia="Times New Roman" w:hAnsi="Times New Roman" w:cs="Times New Roman"/>
          <w:color w:val="000000"/>
          <w:kern w:val="0"/>
          <w14:ligatures w14:val="none"/>
        </w:rPr>
        <w:lastRenderedPageBreak/>
        <w:t>Pöhlmann, K., &amp; Brunstein, J. C. (1997). The Center for Epidemiologic Studies Depression Scale (CES-D). </w:t>
      </w:r>
      <w:r w:rsidRPr="00361A50">
        <w:rPr>
          <w:rFonts w:ascii="Times New Roman" w:eastAsia="Times New Roman" w:hAnsi="Times New Roman" w:cs="Times New Roman"/>
          <w:i/>
          <w:iCs/>
          <w:color w:val="000000"/>
          <w:kern w:val="0"/>
          <w14:ligatures w14:val="none"/>
        </w:rPr>
        <w:t>Journal of Psychosomatic Research, 42</w:t>
      </w:r>
      <w:r w:rsidRPr="00361A50">
        <w:rPr>
          <w:rFonts w:ascii="Times New Roman" w:eastAsia="Times New Roman" w:hAnsi="Times New Roman" w:cs="Times New Roman"/>
          <w:color w:val="000000"/>
          <w:kern w:val="0"/>
          <w14:ligatures w14:val="none"/>
        </w:rPr>
        <w:t>, 561-570. </w:t>
      </w:r>
      <w:hyperlink r:id="rId12" w:tgtFrame="_blank" w:history="1">
        <w:r w:rsidRPr="00361A50">
          <w:rPr>
            <w:rFonts w:ascii="Times New Roman" w:eastAsia="Times New Roman" w:hAnsi="Times New Roman" w:cs="Times New Roman"/>
            <w:color w:val="0000FF"/>
            <w:kern w:val="0"/>
            <w:u w:val="single"/>
            <w14:ligatures w14:val="none"/>
          </w:rPr>
          <w:t>https://doi.org/10.1016/S0022-3999(96)00344-3</w:t>
        </w:r>
      </w:hyperlink>
    </w:p>
    <w:p w14:paraId="628AD7D2" w14:textId="77777777" w:rsidR="00601722" w:rsidRPr="00361A50" w:rsidRDefault="00601722" w:rsidP="00601722">
      <w:pPr>
        <w:spacing w:before="100" w:beforeAutospacing="1" w:after="100" w:afterAutospacing="1" w:line="240" w:lineRule="auto"/>
        <w:rPr>
          <w:rFonts w:ascii="Times New Roman" w:eastAsia="Times New Roman" w:hAnsi="Times New Roman" w:cs="Times New Roman"/>
          <w:color w:val="000000"/>
          <w:kern w:val="0"/>
          <w14:ligatures w14:val="none"/>
        </w:rPr>
      </w:pPr>
      <w:r w:rsidRPr="00361A50">
        <w:rPr>
          <w:rFonts w:ascii="Times New Roman" w:eastAsia="Times New Roman" w:hAnsi="Times New Roman" w:cs="Times New Roman"/>
          <w:color w:val="000000"/>
          <w:kern w:val="0"/>
          <w14:ligatures w14:val="none"/>
        </w:rPr>
        <w:t>Sadownik, S. A. (2025). </w:t>
      </w:r>
      <w:r w:rsidRPr="00361A50">
        <w:rPr>
          <w:rFonts w:ascii="Times New Roman" w:eastAsia="Times New Roman" w:hAnsi="Times New Roman" w:cs="Times New Roman"/>
          <w:i/>
          <w:iCs/>
          <w:color w:val="000000"/>
          <w:kern w:val="0"/>
          <w14:ligatures w14:val="none"/>
        </w:rPr>
        <w:t>The Sovereign Dyad: Validation of the Neurodivergent Scale for Interacting with Robots (NSIR)</w:t>
      </w:r>
      <w:r w:rsidRPr="00361A50">
        <w:rPr>
          <w:rFonts w:ascii="Times New Roman" w:eastAsia="Times New Roman" w:hAnsi="Times New Roman" w:cs="Times New Roman"/>
          <w:color w:val="000000"/>
          <w:kern w:val="0"/>
          <w14:ligatures w14:val="none"/>
        </w:rPr>
        <w:t>[Unpublished manuscript]. Faculty of Education, University of Victoria.</w:t>
      </w:r>
    </w:p>
    <w:p w14:paraId="03867633" w14:textId="77777777" w:rsidR="00601722" w:rsidRDefault="00601722" w:rsidP="00601722">
      <w:pPr>
        <w:pStyle w:val="NormalWeb"/>
      </w:pPr>
    </w:p>
    <w:p w14:paraId="54550770" w14:textId="77777777" w:rsidR="00D13B7C" w:rsidRPr="00D13B7C" w:rsidRDefault="00D13B7C">
      <w:pPr>
        <w:rPr>
          <w:rFonts w:ascii="Times New Roman" w:hAnsi="Times New Roman" w:cs="Times New Roman"/>
        </w:rPr>
      </w:pPr>
    </w:p>
    <w:sectPr w:rsidR="00D13B7C" w:rsidRPr="00D13B7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72E6"/>
    <w:rsid w:val="00601722"/>
    <w:rsid w:val="008E3325"/>
    <w:rsid w:val="00901E99"/>
    <w:rsid w:val="00CB72E6"/>
    <w:rsid w:val="00D13B7C"/>
    <w:rsid w:val="00EA2637"/>
    <w:rsid w:val="00F009A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4C80BD40"/>
  <w15:chartTrackingRefBased/>
  <w15:docId w15:val="{216033C2-B335-E349-991F-E1F966CFE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B72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B72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B72E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B72E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B72E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B72E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72E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72E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72E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72E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B72E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B72E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B72E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B72E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B72E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B72E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B72E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B72E6"/>
    <w:rPr>
      <w:rFonts w:eastAsiaTheme="majorEastAsia" w:cstheme="majorBidi"/>
      <w:color w:val="272727" w:themeColor="text1" w:themeTint="D8"/>
    </w:rPr>
  </w:style>
  <w:style w:type="paragraph" w:styleId="Title">
    <w:name w:val="Title"/>
    <w:basedOn w:val="Normal"/>
    <w:next w:val="Normal"/>
    <w:link w:val="TitleChar"/>
    <w:uiPriority w:val="10"/>
    <w:qFormat/>
    <w:rsid w:val="00CB72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B72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B72E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B72E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B72E6"/>
    <w:pPr>
      <w:spacing w:before="160"/>
      <w:jc w:val="center"/>
    </w:pPr>
    <w:rPr>
      <w:i/>
      <w:iCs/>
      <w:color w:val="404040" w:themeColor="text1" w:themeTint="BF"/>
    </w:rPr>
  </w:style>
  <w:style w:type="character" w:customStyle="1" w:styleId="QuoteChar">
    <w:name w:val="Quote Char"/>
    <w:basedOn w:val="DefaultParagraphFont"/>
    <w:link w:val="Quote"/>
    <w:uiPriority w:val="29"/>
    <w:rsid w:val="00CB72E6"/>
    <w:rPr>
      <w:i/>
      <w:iCs/>
      <w:color w:val="404040" w:themeColor="text1" w:themeTint="BF"/>
    </w:rPr>
  </w:style>
  <w:style w:type="paragraph" w:styleId="ListParagraph">
    <w:name w:val="List Paragraph"/>
    <w:basedOn w:val="Normal"/>
    <w:uiPriority w:val="34"/>
    <w:qFormat/>
    <w:rsid w:val="00CB72E6"/>
    <w:pPr>
      <w:ind w:left="720"/>
      <w:contextualSpacing/>
    </w:pPr>
  </w:style>
  <w:style w:type="character" w:styleId="IntenseEmphasis">
    <w:name w:val="Intense Emphasis"/>
    <w:basedOn w:val="DefaultParagraphFont"/>
    <w:uiPriority w:val="21"/>
    <w:qFormat/>
    <w:rsid w:val="00CB72E6"/>
    <w:rPr>
      <w:i/>
      <w:iCs/>
      <w:color w:val="0F4761" w:themeColor="accent1" w:themeShade="BF"/>
    </w:rPr>
  </w:style>
  <w:style w:type="paragraph" w:styleId="IntenseQuote">
    <w:name w:val="Intense Quote"/>
    <w:basedOn w:val="Normal"/>
    <w:next w:val="Normal"/>
    <w:link w:val="IntenseQuoteChar"/>
    <w:uiPriority w:val="30"/>
    <w:qFormat/>
    <w:rsid w:val="00CB72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B72E6"/>
    <w:rPr>
      <w:i/>
      <w:iCs/>
      <w:color w:val="0F4761" w:themeColor="accent1" w:themeShade="BF"/>
    </w:rPr>
  </w:style>
  <w:style w:type="character" w:styleId="IntenseReference">
    <w:name w:val="Intense Reference"/>
    <w:basedOn w:val="DefaultParagraphFont"/>
    <w:uiPriority w:val="32"/>
    <w:qFormat/>
    <w:rsid w:val="00CB72E6"/>
    <w:rPr>
      <w:b/>
      <w:bCs/>
      <w:smallCaps/>
      <w:color w:val="0F4761" w:themeColor="accent1" w:themeShade="BF"/>
      <w:spacing w:val="5"/>
    </w:rPr>
  </w:style>
  <w:style w:type="paragraph" w:styleId="NormalWeb">
    <w:name w:val="Normal (Web)"/>
    <w:basedOn w:val="Normal"/>
    <w:uiPriority w:val="99"/>
    <w:unhideWhenUsed/>
    <w:rsid w:val="00D13B7C"/>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search?q=https://doi.org/10.1348/147608305X30571"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arxiv.org/abs/2409.06666" TargetMode="External"/><Relationship Id="rId12" Type="http://schemas.openxmlformats.org/officeDocument/2006/relationships/hyperlink" Target="https://www.google.com/search?q=https://doi.org/10.1016/S0022-3999(96)00344-3"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google.com/search?q=https://doi.org/10.2188/jea.13.22" TargetMode="External"/><Relationship Id="rId11" Type="http://schemas.openxmlformats.org/officeDocument/2006/relationships/hyperlink" Target="https://www.google.com/search?q=https://doi.org/10.3389/fpsyg.2023.1184321" TargetMode="External"/><Relationship Id="rId5" Type="http://schemas.openxmlformats.org/officeDocument/2006/relationships/hyperlink" Target="https://www.google.com/search?q=https://doi.org/10.1111/j.2044-8341.1997.tb01907.x" TargetMode="External"/><Relationship Id="rId10" Type="http://schemas.openxmlformats.org/officeDocument/2006/relationships/hyperlink" Target="https://doi.org/10.1080/09687599.2012.710008" TargetMode="External"/><Relationship Id="rId4" Type="http://schemas.openxmlformats.org/officeDocument/2006/relationships/hyperlink" Target="https://www.google.com/search?q=https://doi.org/10.1109/HRI60401.2025.00204" TargetMode="External"/><Relationship Id="rId9" Type="http://schemas.openxmlformats.org/officeDocument/2006/relationships/hyperlink" Target="https://www.google.com/search?q=https://doi.org/10.1016/S0165-0327(02)00216-7"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1131</Words>
  <Characters>6447</Characters>
  <Application>Microsoft Office Word</Application>
  <DocSecurity>0</DocSecurity>
  <Lines>53</Lines>
  <Paragraphs>15</Paragraphs>
  <ScaleCrop>false</ScaleCrop>
  <Company/>
  <LinksUpToDate>false</LinksUpToDate>
  <CharactersWithSpaces>7563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Sadownik</dc:creator>
  <cp:keywords/>
  <dc:description/>
  <cp:lastModifiedBy>Stephanie Sadownik</cp:lastModifiedBy>
  <cp:revision>3</cp:revision>
  <dcterms:created xsi:type="dcterms:W3CDTF">2026-01-02T17:19:00Z</dcterms:created>
  <dcterms:modified xsi:type="dcterms:W3CDTF">2026-01-02T17:23:00Z</dcterms:modified>
</cp:coreProperties>
</file>