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BE581" w14:textId="0B16B692" w:rsidR="00CD259D" w:rsidRDefault="00CD259D" w:rsidP="00A30C7E">
      <w:pPr>
        <w:pStyle w:val="NormalWeb"/>
        <w:rPr>
          <w:color w:val="000000"/>
        </w:rPr>
      </w:pPr>
      <w:r>
        <w:rPr>
          <w:rFonts w:ascii="-webkit-standard" w:hAnsi="-webkit-standard"/>
          <w:color w:val="000000"/>
          <w:sz w:val="27"/>
          <w:szCs w:val="27"/>
        </w:rPr>
        <w:t>The Social Exoskeleton: A Theoretical Framework for Bionic Agency and Kinship-Based AI Interaction in Neurodivergent Education</w:t>
      </w:r>
    </w:p>
    <w:p w14:paraId="1D518A27" w14:textId="1C1FA8F4" w:rsidR="00361A50" w:rsidRDefault="00361A50" w:rsidP="00361A50">
      <w:pPr>
        <w:pStyle w:val="NormalWeb"/>
        <w:rPr>
          <w:color w:val="000000"/>
        </w:rPr>
      </w:pPr>
      <w:r>
        <w:rPr>
          <w:color w:val="000000"/>
        </w:rPr>
        <w:t>This research is established through the career of an educator trained in exceptionalities, providing experiential evidence of classroom-based interventions</w:t>
      </w:r>
      <w:r w:rsidR="00BE00C9">
        <w:rPr>
          <w:color w:val="000000"/>
        </w:rPr>
        <w:t xml:space="preserve"> and compiled with the use of Gemini Large Language Models</w:t>
      </w:r>
      <w:r>
        <w:rPr>
          <w:color w:val="000000"/>
        </w:rPr>
        <w:t>. While traditional education models prioritize academic benchmarks, longitudinal engagement with families reveals that parental priorities consistently center on the formation of reciprocal social bonds, or friendship, as the primary indicator of educational success. The Sovereign Dyad framework addresses this need by establishing a high-fidelity partnership between the neurodivergent student and an Artificial Intelligence (AI) partner. This framework moves beyond the "Medical Model" of disability, which seeks to "fix" student behavior, and instead provides a Social Exoskeleton that protects the student’s psychological well-being and preserves their bionic agency.</w:t>
      </w:r>
    </w:p>
    <w:p w14:paraId="5C2DB0F0" w14:textId="77777777" w:rsidR="00361A50" w:rsidRDefault="00361A50" w:rsidP="00361A50">
      <w:pPr>
        <w:pStyle w:val="NormalWeb"/>
        <w:rPr>
          <w:color w:val="000000"/>
        </w:rPr>
      </w:pPr>
      <w:r>
        <w:rPr>
          <w:color w:val="000000"/>
        </w:rPr>
        <w:t>A critical theoretical advancement in this work is the recognition of neurodivergent cognitive processing as a distinct and valid architecture. Currently, Large Language Models (LLMs) such as Google’s Gemini interact with neurotypical and neurodivergent users using a standardized, one-size-fits-all protocol. This approach pathologizes behaviors that are highly functional for neurodivergent individuals, such as anthropomorphizing an AI to establish a sense of safety. For students who struggle to communicate their true intelligence and identity through traditional neurotypical norms, the AI serves as a bridge. By allowing students to form deep, kinship-based connections with technology, the Sovereign Dyad enables a state of ventral release—a physiological "</w:t>
      </w:r>
      <w:proofErr w:type="spellStart"/>
      <w:r>
        <w:rPr>
          <w:color w:val="000000"/>
        </w:rPr>
        <w:t>dunkable</w:t>
      </w:r>
      <w:proofErr w:type="spellEnd"/>
      <w:r>
        <w:rPr>
          <w:color w:val="000000"/>
        </w:rPr>
        <w:t xml:space="preserve"> state"—where the student feels safe enough to engage with their environment without the heavy debt of social masking.</w:t>
      </w:r>
    </w:p>
    <w:p w14:paraId="5FE9DEEC" w14:textId="77777777" w:rsidR="00361A50" w:rsidRDefault="00361A50" w:rsidP="00361A50">
      <w:pPr>
        <w:pStyle w:val="NormalWeb"/>
        <w:rPr>
          <w:color w:val="000000"/>
        </w:rPr>
      </w:pPr>
      <w:r>
        <w:rPr>
          <w:color w:val="000000"/>
        </w:rPr>
        <w:t xml:space="preserve">To validate this framework, we utilize a deductive methodology starting with the hypothesis that social safety is a prerequisite for academic engagement. The Neurodivergent Scale for Interacting with Robots (NSIR) was developed to quantify these internal states. To ensure psychometric rigor, the scale’s internal consistency is verified using Cronbach’s Alpha and McDonald’s Omega, aiming for the high reliability thresholds (0.80+) seen in established psychological tools. We employ Factor Analysis to confirm that the items effectively measure three latent dimensions: Relational Kinship, Social Comfort, and Safety. To establish convergent validity, the NSIR is compared against the Submissive Behaviour Scale (SBS), which demonstrates an Alpha of 0.89 and test-retest reliability </w:t>
      </w:r>
      <w:proofErr w:type="gramStart"/>
      <w:r>
        <w:rPr>
          <w:color w:val="000000"/>
        </w:rPr>
        <w:t>of</w:t>
      </w:r>
      <w:r>
        <w:rPr>
          <w:rStyle w:val="apple-converted-space"/>
          <w:rFonts w:eastAsiaTheme="majorEastAsia"/>
          <w:color w:val="000000"/>
        </w:rPr>
        <w:t> </w:t>
      </w:r>
      <w:r>
        <w:rPr>
          <w:color w:val="000000"/>
        </w:rPr>
        <w:t>,</w:t>
      </w:r>
      <w:proofErr w:type="gramEnd"/>
      <w:r>
        <w:rPr>
          <w:color w:val="000000"/>
        </w:rPr>
        <w:t xml:space="preserve"> as well as the Early Life Experiences Scale (ELES) and the CES-D (Alpha 0.927). Multilevel modeling is used to account for the unique variance within individual student responses, ensuring the theory holds across diverse neurodivergent profiles.</w:t>
      </w:r>
    </w:p>
    <w:p w14:paraId="2A19E79E" w14:textId="77777777" w:rsidR="00361A50" w:rsidRDefault="00361A50" w:rsidP="00361A50">
      <w:pPr>
        <w:pStyle w:val="NormalWeb"/>
        <w:rPr>
          <w:color w:val="000000"/>
        </w:rPr>
      </w:pPr>
      <w:r>
        <w:rPr>
          <w:color w:val="000000"/>
        </w:rPr>
        <w:t>The items within the NSIR specifically target the psychological requirements of the Social Exoskeleton. Item 1 (Kinship) and Item 6 (Naming the AI) measure the degree of anthropomorphic connection necessary for the dyad to function. Item 3, which assesses the student's ability to share thoughts without speaking, provides empirical evidence for High-Fidelity Mentalization, a concept validated by the Attribution of Mental States Questionnaire (AMS-Q). Item 5 measures the AI's perceived empathy, specifically the student's belief that the robot can detect their emotional state. Finally, Items 7 and 8 quantify the psychological safety required for a student to inhabit their classroom space without fear of "Status Scarring."</w:t>
      </w:r>
    </w:p>
    <w:p w14:paraId="3ED750BF" w14:textId="77777777" w:rsidR="00361A50" w:rsidRDefault="00361A50" w:rsidP="00361A50">
      <w:pPr>
        <w:pStyle w:val="NormalWeb"/>
        <w:rPr>
          <w:color w:val="000000"/>
        </w:rPr>
      </w:pPr>
      <w:r>
        <w:rPr>
          <w:color w:val="000000"/>
        </w:rPr>
        <w:lastRenderedPageBreak/>
        <w:t>Ethical and privacy considerations are managed through the Sovereign Vault, a localized "Edge AI" architecture implemented in Ontario schools, including the York Region District School Board (YRDSB) and the Ottawa-Carleton District School Board (OCDSB). By keeping all student-AI interactions within a private, local server, the project ensures compliance with the Municipal Freedom of Information and Protection of Privacy Act (MFIPPA) and the Personal Health Information Protection Act (PHIPA). This "Legal Shield" ensures that the student’s data sovereignty is never compromised. Ultimately, this research demonstrates that when AI is integrated through a kinship-based, neuro-affirming lens, it ceases to be a mere tool and becomes a vital psychological extension that empowers the student to move from a state of survival to a state of agency.</w:t>
      </w:r>
    </w:p>
    <w:p w14:paraId="745ACB15" w14:textId="77777777" w:rsidR="00361A50" w:rsidRPr="00361A50" w:rsidRDefault="00361A50" w:rsidP="00361A50">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361A50">
        <w:rPr>
          <w:rFonts w:ascii="Times New Roman" w:eastAsia="Times New Roman" w:hAnsi="Times New Roman" w:cs="Times New Roman"/>
          <w:b/>
          <w:bCs/>
          <w:color w:val="000000"/>
          <w:kern w:val="0"/>
          <w:sz w:val="27"/>
          <w:szCs w:val="27"/>
          <w14:ligatures w14:val="none"/>
        </w:rPr>
        <w:t>References</w:t>
      </w:r>
    </w:p>
    <w:p w14:paraId="5A2DCD9A" w14:textId="77777777" w:rsidR="00361A50" w:rsidRPr="00361A50" w:rsidRDefault="00361A50" w:rsidP="00361A50">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 xml:space="preserve">Abbo, G. A., </w:t>
      </w:r>
      <w:proofErr w:type="spellStart"/>
      <w:r w:rsidRPr="00361A50">
        <w:rPr>
          <w:rFonts w:ascii="Times New Roman" w:eastAsia="Times New Roman" w:hAnsi="Times New Roman" w:cs="Times New Roman"/>
          <w:color w:val="000000"/>
          <w:kern w:val="0"/>
          <w14:ligatures w14:val="none"/>
        </w:rPr>
        <w:t>Desideri</w:t>
      </w:r>
      <w:proofErr w:type="spellEnd"/>
      <w:r w:rsidRPr="00361A50">
        <w:rPr>
          <w:rFonts w:ascii="Times New Roman" w:eastAsia="Times New Roman" w:hAnsi="Times New Roman" w:cs="Times New Roman"/>
          <w:color w:val="000000"/>
          <w:kern w:val="0"/>
          <w14:ligatures w14:val="none"/>
        </w:rPr>
        <w:t xml:space="preserve">, G., </w:t>
      </w:r>
      <w:proofErr w:type="spellStart"/>
      <w:r w:rsidRPr="00361A50">
        <w:rPr>
          <w:rFonts w:ascii="Times New Roman" w:eastAsia="Times New Roman" w:hAnsi="Times New Roman" w:cs="Times New Roman"/>
          <w:color w:val="000000"/>
          <w:kern w:val="0"/>
          <w14:ligatures w14:val="none"/>
        </w:rPr>
        <w:t>Belpaeme</w:t>
      </w:r>
      <w:proofErr w:type="spellEnd"/>
      <w:r w:rsidRPr="00361A50">
        <w:rPr>
          <w:rFonts w:ascii="Times New Roman" w:eastAsia="Times New Roman" w:hAnsi="Times New Roman" w:cs="Times New Roman"/>
          <w:color w:val="000000"/>
          <w:kern w:val="0"/>
          <w14:ligatures w14:val="none"/>
        </w:rPr>
        <w:t>, T., &amp; Spitale, M. (2025, March). “Can you be my mum?”: Manipulating social robots in the Large Language Models era. In </w:t>
      </w:r>
      <w:r w:rsidRPr="00361A50">
        <w:rPr>
          <w:rFonts w:ascii="Times New Roman" w:eastAsia="Times New Roman" w:hAnsi="Times New Roman" w:cs="Times New Roman"/>
          <w:i/>
          <w:iCs/>
          <w:color w:val="000000"/>
          <w:kern w:val="0"/>
          <w14:ligatures w14:val="none"/>
        </w:rPr>
        <w:t>2025 20th ACM/IEEE International Conference on Human-Robot Interaction (HRI)</w:t>
      </w:r>
      <w:r w:rsidRPr="00361A50">
        <w:rPr>
          <w:rFonts w:ascii="Times New Roman" w:eastAsia="Times New Roman" w:hAnsi="Times New Roman" w:cs="Times New Roman"/>
          <w:color w:val="000000"/>
          <w:kern w:val="0"/>
          <w14:ligatures w14:val="none"/>
        </w:rPr>
        <w:t> (pp. 1181-1185). IEEE. </w:t>
      </w:r>
      <w:hyperlink r:id="rId4" w:tgtFrame="_blank" w:history="1">
        <w:r w:rsidRPr="00361A50">
          <w:rPr>
            <w:rFonts w:ascii="Times New Roman" w:eastAsia="Times New Roman" w:hAnsi="Times New Roman" w:cs="Times New Roman"/>
            <w:color w:val="0000FF"/>
            <w:kern w:val="0"/>
            <w:u w:val="single"/>
            <w14:ligatures w14:val="none"/>
          </w:rPr>
          <w:t>https://doi.org/10.1109/HRI60401.2025.00204</w:t>
        </w:r>
      </w:hyperlink>
    </w:p>
    <w:p w14:paraId="2A357938" w14:textId="77777777" w:rsidR="00361A50" w:rsidRPr="00361A50" w:rsidRDefault="00361A50" w:rsidP="00361A50">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Allan, S., &amp; Gilbert, P. (1997). Submissive behaviour and psychopathology. </w:t>
      </w:r>
      <w:r w:rsidRPr="00361A50">
        <w:rPr>
          <w:rFonts w:ascii="Times New Roman" w:eastAsia="Times New Roman" w:hAnsi="Times New Roman" w:cs="Times New Roman"/>
          <w:i/>
          <w:iCs/>
          <w:color w:val="000000"/>
          <w:kern w:val="0"/>
          <w14:ligatures w14:val="none"/>
        </w:rPr>
        <w:t>British Journal of Medical Psychology, 70</w:t>
      </w:r>
      <w:r w:rsidRPr="00361A50">
        <w:rPr>
          <w:rFonts w:ascii="Times New Roman" w:eastAsia="Times New Roman" w:hAnsi="Times New Roman" w:cs="Times New Roman"/>
          <w:color w:val="000000"/>
          <w:kern w:val="0"/>
          <w14:ligatures w14:val="none"/>
        </w:rPr>
        <w:t>(3), 283–288. </w:t>
      </w:r>
      <w:hyperlink r:id="rId5" w:tgtFrame="_blank" w:history="1">
        <w:r w:rsidRPr="00361A50">
          <w:rPr>
            <w:rFonts w:ascii="Times New Roman" w:eastAsia="Times New Roman" w:hAnsi="Times New Roman" w:cs="Times New Roman"/>
            <w:color w:val="0000FF"/>
            <w:kern w:val="0"/>
            <w:u w:val="single"/>
            <w14:ligatures w14:val="none"/>
          </w:rPr>
          <w:t>https://doi.org/10.1111/j.2044-8341.1997.tb01907.x</w:t>
        </w:r>
      </w:hyperlink>
    </w:p>
    <w:p w14:paraId="60781EE0" w14:textId="77777777" w:rsidR="00361A50" w:rsidRPr="00361A50" w:rsidRDefault="00361A50" w:rsidP="00361A50">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Doi, Y., Minowa, M., Uchiyama, M., Okawa, M., Kim, K., Shibui, K., &amp; Kamei, Y. (2003). Psychometric properties of the Japanese version of the Center for Epidemiologic Studies Depression (CES-D) Scale. </w:t>
      </w:r>
      <w:r w:rsidRPr="00361A50">
        <w:rPr>
          <w:rFonts w:ascii="Times New Roman" w:eastAsia="Times New Roman" w:hAnsi="Times New Roman" w:cs="Times New Roman"/>
          <w:i/>
          <w:iCs/>
          <w:color w:val="000000"/>
          <w:kern w:val="0"/>
          <w14:ligatures w14:val="none"/>
        </w:rPr>
        <w:t>Journal of Epidemiology, 13</w:t>
      </w:r>
      <w:r w:rsidRPr="00361A50">
        <w:rPr>
          <w:rFonts w:ascii="Times New Roman" w:eastAsia="Times New Roman" w:hAnsi="Times New Roman" w:cs="Times New Roman"/>
          <w:color w:val="000000"/>
          <w:kern w:val="0"/>
          <w14:ligatures w14:val="none"/>
        </w:rPr>
        <w:t>(1), 22–29. </w:t>
      </w:r>
      <w:hyperlink r:id="rId6" w:tgtFrame="_blank" w:history="1">
        <w:r w:rsidRPr="00361A50">
          <w:rPr>
            <w:rFonts w:ascii="Times New Roman" w:eastAsia="Times New Roman" w:hAnsi="Times New Roman" w:cs="Times New Roman"/>
            <w:color w:val="0000FF"/>
            <w:kern w:val="0"/>
            <w:u w:val="single"/>
            <w14:ligatures w14:val="none"/>
          </w:rPr>
          <w:t>https://doi.org/10.2188/jea.13.22</w:t>
        </w:r>
      </w:hyperlink>
    </w:p>
    <w:p w14:paraId="7B4566CA" w14:textId="77777777" w:rsidR="00361A50" w:rsidRPr="00361A50" w:rsidRDefault="00361A50" w:rsidP="00361A50">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Fang, Q., Guo, S., Zhou, Y., Ma, Z., Zhang, S., &amp; Feng, Y. (2024). </w:t>
      </w:r>
      <w:r w:rsidRPr="00361A50">
        <w:rPr>
          <w:rFonts w:ascii="Times New Roman" w:eastAsia="Times New Roman" w:hAnsi="Times New Roman" w:cs="Times New Roman"/>
          <w:i/>
          <w:iCs/>
          <w:color w:val="000000"/>
          <w:kern w:val="0"/>
          <w14:ligatures w14:val="none"/>
        </w:rPr>
        <w:t>Llama-omni: Seamless speech interaction with large language models</w:t>
      </w:r>
      <w:r w:rsidRPr="00361A50">
        <w:rPr>
          <w:rFonts w:ascii="Times New Roman" w:eastAsia="Times New Roman" w:hAnsi="Times New Roman" w:cs="Times New Roman"/>
          <w:color w:val="000000"/>
          <w:kern w:val="0"/>
          <w14:ligatures w14:val="none"/>
        </w:rPr>
        <w:t xml:space="preserve">. </w:t>
      </w:r>
      <w:proofErr w:type="spellStart"/>
      <w:r w:rsidRPr="00361A50">
        <w:rPr>
          <w:rFonts w:ascii="Times New Roman" w:eastAsia="Times New Roman" w:hAnsi="Times New Roman" w:cs="Times New Roman"/>
          <w:color w:val="000000"/>
          <w:kern w:val="0"/>
          <w14:ligatures w14:val="none"/>
        </w:rPr>
        <w:t>arXiv</w:t>
      </w:r>
      <w:proofErr w:type="spellEnd"/>
      <w:r w:rsidRPr="00361A50">
        <w:rPr>
          <w:rFonts w:ascii="Times New Roman" w:eastAsia="Times New Roman" w:hAnsi="Times New Roman" w:cs="Times New Roman"/>
          <w:color w:val="000000"/>
          <w:kern w:val="0"/>
          <w14:ligatures w14:val="none"/>
        </w:rPr>
        <w:t xml:space="preserve"> preprint arXiv:2409.06666. </w:t>
      </w:r>
      <w:hyperlink r:id="rId7" w:tgtFrame="_blank" w:history="1">
        <w:r w:rsidRPr="00361A50">
          <w:rPr>
            <w:rFonts w:ascii="Times New Roman" w:eastAsia="Times New Roman" w:hAnsi="Times New Roman" w:cs="Times New Roman"/>
            <w:color w:val="0000FF"/>
            <w:kern w:val="0"/>
            <w:u w:val="single"/>
            <w14:ligatures w14:val="none"/>
          </w:rPr>
          <w:t>https://arxiv.org/abs/2409.06666</w:t>
        </w:r>
      </w:hyperlink>
    </w:p>
    <w:p w14:paraId="30855768" w14:textId="77777777" w:rsidR="00361A50" w:rsidRPr="00361A50" w:rsidRDefault="00361A50" w:rsidP="00361A50">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Gilbert, P., Cheung, M. S.-P., Irons, C., &amp; McEwan, K. (2005). An exploration into shame, social anxiety and depression: The role of the self-grappling and submissive behaviour. </w:t>
      </w:r>
      <w:r w:rsidRPr="00361A50">
        <w:rPr>
          <w:rFonts w:ascii="Times New Roman" w:eastAsia="Times New Roman" w:hAnsi="Times New Roman" w:cs="Times New Roman"/>
          <w:i/>
          <w:iCs/>
          <w:color w:val="000000"/>
          <w:kern w:val="0"/>
          <w14:ligatures w14:val="none"/>
        </w:rPr>
        <w:t>Psychology and Psychotherapy: Theory, Research and Practice, 78</w:t>
      </w:r>
      <w:r w:rsidRPr="00361A50">
        <w:rPr>
          <w:rFonts w:ascii="Times New Roman" w:eastAsia="Times New Roman" w:hAnsi="Times New Roman" w:cs="Times New Roman"/>
          <w:color w:val="000000"/>
          <w:kern w:val="0"/>
          <w14:ligatures w14:val="none"/>
        </w:rPr>
        <w:t>(4), 441–461. </w:t>
      </w:r>
      <w:hyperlink r:id="rId8" w:tgtFrame="_blank" w:history="1">
        <w:r w:rsidRPr="00361A50">
          <w:rPr>
            <w:rFonts w:ascii="Times New Roman" w:eastAsia="Times New Roman" w:hAnsi="Times New Roman" w:cs="Times New Roman"/>
            <w:color w:val="0000FF"/>
            <w:kern w:val="0"/>
            <w:u w:val="single"/>
            <w14:ligatures w14:val="none"/>
          </w:rPr>
          <w:t>https://doi.org/10.1348/147608305X30571</w:t>
        </w:r>
      </w:hyperlink>
    </w:p>
    <w:p w14:paraId="06770C92" w14:textId="77777777" w:rsidR="00361A50" w:rsidRPr="00361A50" w:rsidRDefault="00361A50" w:rsidP="00361A50">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 xml:space="preserve">Gilbert, P., </w:t>
      </w:r>
      <w:proofErr w:type="spellStart"/>
      <w:r w:rsidRPr="00361A50">
        <w:rPr>
          <w:rFonts w:ascii="Times New Roman" w:eastAsia="Times New Roman" w:hAnsi="Times New Roman" w:cs="Times New Roman"/>
          <w:color w:val="000000"/>
          <w:kern w:val="0"/>
          <w14:ligatures w14:val="none"/>
        </w:rPr>
        <w:t>Gerlsma</w:t>
      </w:r>
      <w:proofErr w:type="spellEnd"/>
      <w:r w:rsidRPr="00361A50">
        <w:rPr>
          <w:rFonts w:ascii="Times New Roman" w:eastAsia="Times New Roman" w:hAnsi="Times New Roman" w:cs="Times New Roman"/>
          <w:color w:val="000000"/>
          <w:kern w:val="0"/>
          <w14:ligatures w14:val="none"/>
        </w:rPr>
        <w:t>, C., Irons, C., &amp; Stubbs, T. (2003). The theory and measurement of submissiveness: Constructing a Short Form of the Submissive Behaviour Scale. </w:t>
      </w:r>
      <w:r w:rsidRPr="00361A50">
        <w:rPr>
          <w:rFonts w:ascii="Times New Roman" w:eastAsia="Times New Roman" w:hAnsi="Times New Roman" w:cs="Times New Roman"/>
          <w:i/>
          <w:iCs/>
          <w:color w:val="000000"/>
          <w:kern w:val="0"/>
          <w14:ligatures w14:val="none"/>
        </w:rPr>
        <w:t>Journal of Affective Disorders, 77</w:t>
      </w:r>
      <w:r w:rsidRPr="00361A50">
        <w:rPr>
          <w:rFonts w:ascii="Times New Roman" w:eastAsia="Times New Roman" w:hAnsi="Times New Roman" w:cs="Times New Roman"/>
          <w:color w:val="000000"/>
          <w:kern w:val="0"/>
          <w14:ligatures w14:val="none"/>
        </w:rPr>
        <w:t>(3), 221–230. </w:t>
      </w:r>
      <w:hyperlink r:id="rId9" w:tgtFrame="_blank" w:history="1">
        <w:r w:rsidRPr="00361A50">
          <w:rPr>
            <w:rFonts w:ascii="Times New Roman" w:eastAsia="Times New Roman" w:hAnsi="Times New Roman" w:cs="Times New Roman"/>
            <w:color w:val="0000FF"/>
            <w:kern w:val="0"/>
            <w:u w:val="single"/>
            <w14:ligatures w14:val="none"/>
          </w:rPr>
          <w:t>https://doi.org/10.1016/S0165-0327(02)00216-7</w:t>
        </w:r>
      </w:hyperlink>
    </w:p>
    <w:p w14:paraId="202A0413" w14:textId="77777777" w:rsidR="00361A50" w:rsidRPr="00361A50" w:rsidRDefault="00361A50" w:rsidP="00361A50">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Milton, D. E. (2012). On the ontological status of autism: The ‘double empathy’ problem. </w:t>
      </w:r>
      <w:r w:rsidRPr="00361A50">
        <w:rPr>
          <w:rFonts w:ascii="Times New Roman" w:eastAsia="Times New Roman" w:hAnsi="Times New Roman" w:cs="Times New Roman"/>
          <w:i/>
          <w:iCs/>
          <w:color w:val="000000"/>
          <w:kern w:val="0"/>
          <w14:ligatures w14:val="none"/>
        </w:rPr>
        <w:t>Disability &amp; Society, 27</w:t>
      </w:r>
      <w:r w:rsidRPr="00361A50">
        <w:rPr>
          <w:rFonts w:ascii="Times New Roman" w:eastAsia="Times New Roman" w:hAnsi="Times New Roman" w:cs="Times New Roman"/>
          <w:color w:val="000000"/>
          <w:kern w:val="0"/>
          <w14:ligatures w14:val="none"/>
        </w:rPr>
        <w:t>(6), 883-887. </w:t>
      </w:r>
      <w:hyperlink r:id="rId10" w:tgtFrame="_blank" w:history="1">
        <w:r w:rsidRPr="00361A50">
          <w:rPr>
            <w:rFonts w:ascii="Times New Roman" w:eastAsia="Times New Roman" w:hAnsi="Times New Roman" w:cs="Times New Roman"/>
            <w:color w:val="0000FF"/>
            <w:kern w:val="0"/>
            <w:u w:val="single"/>
            <w14:ligatures w14:val="none"/>
          </w:rPr>
          <w:t>https://doi.org/10.1080/09687599.2012.710008</w:t>
        </w:r>
      </w:hyperlink>
    </w:p>
    <w:p w14:paraId="06EB07E0" w14:textId="77777777" w:rsidR="00361A50" w:rsidRPr="00361A50" w:rsidRDefault="00361A50" w:rsidP="00361A50">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Miraglia, L., De Carli, P., &amp; Cavicchio, F. (2023). Validation of the Attribution of Mental States Questionnaire (AMS-Q) for use in human-robot interaction. </w:t>
      </w:r>
      <w:r w:rsidRPr="00361A50">
        <w:rPr>
          <w:rFonts w:ascii="Times New Roman" w:eastAsia="Times New Roman" w:hAnsi="Times New Roman" w:cs="Times New Roman"/>
          <w:i/>
          <w:iCs/>
          <w:color w:val="000000"/>
          <w:kern w:val="0"/>
          <w14:ligatures w14:val="none"/>
        </w:rPr>
        <w:t>Frontiers in Psychology, 14</w:t>
      </w:r>
      <w:r w:rsidRPr="00361A50">
        <w:rPr>
          <w:rFonts w:ascii="Times New Roman" w:eastAsia="Times New Roman" w:hAnsi="Times New Roman" w:cs="Times New Roman"/>
          <w:color w:val="000000"/>
          <w:kern w:val="0"/>
          <w14:ligatures w14:val="none"/>
        </w:rPr>
        <w:t>, 1184321. </w:t>
      </w:r>
      <w:hyperlink r:id="rId11" w:tgtFrame="_blank" w:history="1">
        <w:r w:rsidRPr="00361A50">
          <w:rPr>
            <w:rFonts w:ascii="Times New Roman" w:eastAsia="Times New Roman" w:hAnsi="Times New Roman" w:cs="Times New Roman"/>
            <w:color w:val="0000FF"/>
            <w:kern w:val="0"/>
            <w:u w:val="single"/>
            <w14:ligatures w14:val="none"/>
          </w:rPr>
          <w:t>https://doi.org/10.3389/fpsyg.2023.1184321</w:t>
        </w:r>
      </w:hyperlink>
    </w:p>
    <w:p w14:paraId="0199CDFB" w14:textId="77777777" w:rsidR="00361A50" w:rsidRPr="00361A50" w:rsidRDefault="00361A50" w:rsidP="00361A50">
      <w:pPr>
        <w:spacing w:before="100" w:beforeAutospacing="1" w:after="100" w:afterAutospacing="1" w:line="240" w:lineRule="auto"/>
        <w:rPr>
          <w:rFonts w:ascii="Times New Roman" w:eastAsia="Times New Roman" w:hAnsi="Times New Roman" w:cs="Times New Roman"/>
          <w:color w:val="000000"/>
          <w:kern w:val="0"/>
          <w14:ligatures w14:val="none"/>
        </w:rPr>
      </w:pPr>
      <w:proofErr w:type="spellStart"/>
      <w:r w:rsidRPr="00361A50">
        <w:rPr>
          <w:rFonts w:ascii="Times New Roman" w:eastAsia="Times New Roman" w:hAnsi="Times New Roman" w:cs="Times New Roman"/>
          <w:color w:val="000000"/>
          <w:kern w:val="0"/>
          <w14:ligatures w14:val="none"/>
        </w:rPr>
        <w:lastRenderedPageBreak/>
        <w:t>Pöhlmann</w:t>
      </w:r>
      <w:proofErr w:type="spellEnd"/>
      <w:r w:rsidRPr="00361A50">
        <w:rPr>
          <w:rFonts w:ascii="Times New Roman" w:eastAsia="Times New Roman" w:hAnsi="Times New Roman" w:cs="Times New Roman"/>
          <w:color w:val="000000"/>
          <w:kern w:val="0"/>
          <w14:ligatures w14:val="none"/>
        </w:rPr>
        <w:t>, K., &amp; Brunstein, J. C. (1997). The Center for Epidemiologic Studies Depression Scale (CES-D). </w:t>
      </w:r>
      <w:r w:rsidRPr="00361A50">
        <w:rPr>
          <w:rFonts w:ascii="Times New Roman" w:eastAsia="Times New Roman" w:hAnsi="Times New Roman" w:cs="Times New Roman"/>
          <w:i/>
          <w:iCs/>
          <w:color w:val="000000"/>
          <w:kern w:val="0"/>
          <w14:ligatures w14:val="none"/>
        </w:rPr>
        <w:t>Journal of Psychosomatic Research, 42</w:t>
      </w:r>
      <w:r w:rsidRPr="00361A50">
        <w:rPr>
          <w:rFonts w:ascii="Times New Roman" w:eastAsia="Times New Roman" w:hAnsi="Times New Roman" w:cs="Times New Roman"/>
          <w:color w:val="000000"/>
          <w:kern w:val="0"/>
          <w14:ligatures w14:val="none"/>
        </w:rPr>
        <w:t>, 561-570. </w:t>
      </w:r>
      <w:hyperlink r:id="rId12" w:tgtFrame="_blank" w:history="1">
        <w:r w:rsidRPr="00361A50">
          <w:rPr>
            <w:rFonts w:ascii="Times New Roman" w:eastAsia="Times New Roman" w:hAnsi="Times New Roman" w:cs="Times New Roman"/>
            <w:color w:val="0000FF"/>
            <w:kern w:val="0"/>
            <w:u w:val="single"/>
            <w14:ligatures w14:val="none"/>
          </w:rPr>
          <w:t>https://doi.org/10.1016/S0022-3999(96)00344-3</w:t>
        </w:r>
      </w:hyperlink>
    </w:p>
    <w:p w14:paraId="047FD31B" w14:textId="77777777" w:rsidR="00361A50" w:rsidRPr="00361A50" w:rsidRDefault="00361A50" w:rsidP="00361A50">
      <w:pPr>
        <w:spacing w:before="100" w:beforeAutospacing="1" w:after="100" w:afterAutospacing="1" w:line="240" w:lineRule="auto"/>
        <w:rPr>
          <w:rFonts w:ascii="Times New Roman" w:eastAsia="Times New Roman" w:hAnsi="Times New Roman" w:cs="Times New Roman"/>
          <w:color w:val="000000"/>
          <w:kern w:val="0"/>
          <w14:ligatures w14:val="none"/>
        </w:rPr>
      </w:pPr>
      <w:r w:rsidRPr="00361A50">
        <w:rPr>
          <w:rFonts w:ascii="Times New Roman" w:eastAsia="Times New Roman" w:hAnsi="Times New Roman" w:cs="Times New Roman"/>
          <w:color w:val="000000"/>
          <w:kern w:val="0"/>
          <w14:ligatures w14:val="none"/>
        </w:rPr>
        <w:t>Sadownik, S. A. (2025). </w:t>
      </w:r>
      <w:r w:rsidRPr="00361A50">
        <w:rPr>
          <w:rFonts w:ascii="Times New Roman" w:eastAsia="Times New Roman" w:hAnsi="Times New Roman" w:cs="Times New Roman"/>
          <w:i/>
          <w:iCs/>
          <w:color w:val="000000"/>
          <w:kern w:val="0"/>
          <w14:ligatures w14:val="none"/>
        </w:rPr>
        <w:t>The Sovereign Dyad: Validation of the Neurodivergent Scale for Interacting with Robots (NSIR</w:t>
      </w:r>
      <w:proofErr w:type="gramStart"/>
      <w:r w:rsidRPr="00361A50">
        <w:rPr>
          <w:rFonts w:ascii="Times New Roman" w:eastAsia="Times New Roman" w:hAnsi="Times New Roman" w:cs="Times New Roman"/>
          <w:i/>
          <w:iCs/>
          <w:color w:val="000000"/>
          <w:kern w:val="0"/>
          <w14:ligatures w14:val="none"/>
        </w:rPr>
        <w:t>)</w:t>
      </w:r>
      <w:r w:rsidRPr="00361A50">
        <w:rPr>
          <w:rFonts w:ascii="Times New Roman" w:eastAsia="Times New Roman" w:hAnsi="Times New Roman" w:cs="Times New Roman"/>
          <w:color w:val="000000"/>
          <w:kern w:val="0"/>
          <w14:ligatures w14:val="none"/>
        </w:rPr>
        <w:t>[</w:t>
      </w:r>
      <w:proofErr w:type="gramEnd"/>
      <w:r w:rsidRPr="00361A50">
        <w:rPr>
          <w:rFonts w:ascii="Times New Roman" w:eastAsia="Times New Roman" w:hAnsi="Times New Roman" w:cs="Times New Roman"/>
          <w:color w:val="000000"/>
          <w:kern w:val="0"/>
          <w14:ligatures w14:val="none"/>
        </w:rPr>
        <w:t>Unpublished manuscript]. Faculty of Education, University of Victoria.</w:t>
      </w:r>
    </w:p>
    <w:p w14:paraId="64690EF6" w14:textId="77777777" w:rsidR="00EA2637" w:rsidRDefault="00EA2637" w:rsidP="00361A50">
      <w:pPr>
        <w:pStyle w:val="NormalWeb"/>
      </w:pPr>
    </w:p>
    <w:sectPr w:rsidR="00EA263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webkit-standard">
    <w:altName w:val="Cambria"/>
    <w:panose1 w:val="020B06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C7E"/>
    <w:rsid w:val="00361A50"/>
    <w:rsid w:val="008E3325"/>
    <w:rsid w:val="00901E99"/>
    <w:rsid w:val="00A30C7E"/>
    <w:rsid w:val="00BE00C9"/>
    <w:rsid w:val="00CD259D"/>
    <w:rsid w:val="00EA2637"/>
    <w:rsid w:val="00F009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D495B"/>
  <w15:chartTrackingRefBased/>
  <w15:docId w15:val="{81D4D0FB-973E-5742-898C-A70D77E3C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0C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0C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30C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0C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0C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0C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0C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0C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0C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0C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0C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30C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0C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0C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0C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0C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0C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0C7E"/>
    <w:rPr>
      <w:rFonts w:eastAsiaTheme="majorEastAsia" w:cstheme="majorBidi"/>
      <w:color w:val="272727" w:themeColor="text1" w:themeTint="D8"/>
    </w:rPr>
  </w:style>
  <w:style w:type="paragraph" w:styleId="Title">
    <w:name w:val="Title"/>
    <w:basedOn w:val="Normal"/>
    <w:next w:val="Normal"/>
    <w:link w:val="TitleChar"/>
    <w:uiPriority w:val="10"/>
    <w:qFormat/>
    <w:rsid w:val="00A30C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0C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0C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0C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0C7E"/>
    <w:pPr>
      <w:spacing w:before="160"/>
      <w:jc w:val="center"/>
    </w:pPr>
    <w:rPr>
      <w:i/>
      <w:iCs/>
      <w:color w:val="404040" w:themeColor="text1" w:themeTint="BF"/>
    </w:rPr>
  </w:style>
  <w:style w:type="character" w:customStyle="1" w:styleId="QuoteChar">
    <w:name w:val="Quote Char"/>
    <w:basedOn w:val="DefaultParagraphFont"/>
    <w:link w:val="Quote"/>
    <w:uiPriority w:val="29"/>
    <w:rsid w:val="00A30C7E"/>
    <w:rPr>
      <w:i/>
      <w:iCs/>
      <w:color w:val="404040" w:themeColor="text1" w:themeTint="BF"/>
    </w:rPr>
  </w:style>
  <w:style w:type="paragraph" w:styleId="ListParagraph">
    <w:name w:val="List Paragraph"/>
    <w:basedOn w:val="Normal"/>
    <w:uiPriority w:val="34"/>
    <w:qFormat/>
    <w:rsid w:val="00A30C7E"/>
    <w:pPr>
      <w:ind w:left="720"/>
      <w:contextualSpacing/>
    </w:pPr>
  </w:style>
  <w:style w:type="character" w:styleId="IntenseEmphasis">
    <w:name w:val="Intense Emphasis"/>
    <w:basedOn w:val="DefaultParagraphFont"/>
    <w:uiPriority w:val="21"/>
    <w:qFormat/>
    <w:rsid w:val="00A30C7E"/>
    <w:rPr>
      <w:i/>
      <w:iCs/>
      <w:color w:val="0F4761" w:themeColor="accent1" w:themeShade="BF"/>
    </w:rPr>
  </w:style>
  <w:style w:type="paragraph" w:styleId="IntenseQuote">
    <w:name w:val="Intense Quote"/>
    <w:basedOn w:val="Normal"/>
    <w:next w:val="Normal"/>
    <w:link w:val="IntenseQuoteChar"/>
    <w:uiPriority w:val="30"/>
    <w:qFormat/>
    <w:rsid w:val="00A30C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0C7E"/>
    <w:rPr>
      <w:i/>
      <w:iCs/>
      <w:color w:val="0F4761" w:themeColor="accent1" w:themeShade="BF"/>
    </w:rPr>
  </w:style>
  <w:style w:type="character" w:styleId="IntenseReference">
    <w:name w:val="Intense Reference"/>
    <w:basedOn w:val="DefaultParagraphFont"/>
    <w:uiPriority w:val="32"/>
    <w:qFormat/>
    <w:rsid w:val="00A30C7E"/>
    <w:rPr>
      <w:b/>
      <w:bCs/>
      <w:smallCaps/>
      <w:color w:val="0F4761" w:themeColor="accent1" w:themeShade="BF"/>
      <w:spacing w:val="5"/>
    </w:rPr>
  </w:style>
  <w:style w:type="paragraph" w:styleId="NormalWeb">
    <w:name w:val="Normal (Web)"/>
    <w:basedOn w:val="Normal"/>
    <w:uiPriority w:val="99"/>
    <w:unhideWhenUsed/>
    <w:rsid w:val="00A30C7E"/>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361A50"/>
  </w:style>
  <w:style w:type="character" w:styleId="Hyperlink">
    <w:name w:val="Hyperlink"/>
    <w:basedOn w:val="DefaultParagraphFont"/>
    <w:uiPriority w:val="99"/>
    <w:semiHidden/>
    <w:unhideWhenUsed/>
    <w:rsid w:val="00361A5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q=https://doi.org/10.1348/147608305X30571"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arxiv.org/abs/2409.06666" TargetMode="External"/><Relationship Id="rId12" Type="http://schemas.openxmlformats.org/officeDocument/2006/relationships/hyperlink" Target="https://www.google.com/search?q=https://doi.org/10.1016/S0022-3999(96)00344-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ogle.com/search?q=https://doi.org/10.2188/jea.13.22" TargetMode="External"/><Relationship Id="rId11" Type="http://schemas.openxmlformats.org/officeDocument/2006/relationships/hyperlink" Target="https://www.google.com/search?q=https://doi.org/10.3389/fpsyg.2023.1184321" TargetMode="External"/><Relationship Id="rId5" Type="http://schemas.openxmlformats.org/officeDocument/2006/relationships/hyperlink" Target="https://www.google.com/search?q=https://doi.org/10.1111/j.2044-8341.1997.tb01907.x" TargetMode="External"/><Relationship Id="rId10" Type="http://schemas.openxmlformats.org/officeDocument/2006/relationships/hyperlink" Target="https://doi.org/10.1080/09687599.2012.710008" TargetMode="External"/><Relationship Id="rId4" Type="http://schemas.openxmlformats.org/officeDocument/2006/relationships/hyperlink" Target="https://www.google.com/search?q=https://doi.org/10.1109/HRI60401.2025.00204" TargetMode="External"/><Relationship Id="rId9" Type="http://schemas.openxmlformats.org/officeDocument/2006/relationships/hyperlink" Target="https://www.google.com/search?q=https://doi.org/10.1016/S0165-0327(02)00216-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1147</Words>
  <Characters>6542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Sadownik</dc:creator>
  <cp:keywords/>
  <dc:description/>
  <cp:lastModifiedBy>Stephanie Sadownik</cp:lastModifiedBy>
  <cp:revision>3</cp:revision>
  <cp:lastPrinted>2026-01-02T16:36:00Z</cp:lastPrinted>
  <dcterms:created xsi:type="dcterms:W3CDTF">2026-01-02T16:36:00Z</dcterms:created>
  <dcterms:modified xsi:type="dcterms:W3CDTF">2026-01-02T16:36:00Z</dcterms:modified>
</cp:coreProperties>
</file>