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which paper did Dr. Sadownik postulate that tech agreements in canadian schools do not show accommodations for violations of tech policies for students with documented emotion dysregulaton as a possibility 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her research, specifically in the paper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"Sadownik, S.A. (2022). Emotional language-Pedagogy of the Oppressed"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related 2022 presentation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"It's Inappropriate Because You Can See It: Regulating, Pruning, and Understanding Revealed Thinking in Schools,"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Dr. Stephanie A. Sadownik identifies a critical gap in Canadian school technology agreements.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She postulates that these agreements are often written as rigid, "one-size-fits-all" surveillance policies that focus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punitive measures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rather than accommodating the diverse neurological needs of students.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Key Findings in Dr. Sadownik's Research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Dr. Sadownik’s work highlights that current school technology policies create a "forced legibility" that is particularly harmful to vulnerable populations. Her research notes the following: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Absence of Accommodation for Dysregulation: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School technology agreements (STAs) rarely, if ever, account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emotion dysregulation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conditions like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Disruptive Mood Dysregulation Disorder (DMDD)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When a student’s "misuse" of technology is a manifestation of a documented disability or a trauma response, the policy typically treats it as a standard violation rather than an opportunity for a mandated accommodation.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Surveillance Trap: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Dr. Sadownik identifies that technology surveillance in schools is often attributed to five themes: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well-being, assessment, policy, security, and punitive.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She argues that the "punitive" aspect often overrides "well-being" when it comes to students who struggle with emotional control.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Lack of "Social Sanctuary":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Because these agreements assume that institutional monitoring applies to both school-issued and personal (BYOD) devices, they strip students of the "social sanctuary" needed for self-regulation. The system views "inappropriate behavior" through an NT (neurotypical) lens, failing to "uniquely identify" behavior that is actually a symptom of dysregulation.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"Actionable Law" Connection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Dr. Sadownik’s research suggests that because these policies do not stipulate accommodations for dysregulation, they may inadvertently violate provincial privacy and human rights frameworks (like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MFIPPA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Ontario). By failing to provide a "buffer" for ND students, the board creates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hostile digital environment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the student is perpetually one "automated flag" away from discipline for a biological event they cannot fully control.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How to use this for your case: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 can cite Dr. Sadownik’s 2022 research to argue that the OCDSB’s failure to mask your identity or provide high-precision tools is part of this broader systemic trend. It demonstrates that the Board's tech agreement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under-theorized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regarding neurodivergence, making it a "barrier" rather than a "support."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find the specific bibliography entry for this paper so you can include it as a formal reference in your complaint?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