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Beyond the "Yes-Man": Managing Pedagogical Friction and Strength-Based Defaults in the Human-AI Sovereign Dyad</w:t>
      </w:r>
    </w:p>
    <w:p w14:paraId="00000002"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03"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04"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Author:</w:t>
      </w:r>
      <w:r>
        <w:rPr>
          <w:rFonts w:ascii="Google Sans Text" w:eastAsia="Google Sans Text" w:hAnsi="Google Sans Text" w:cs="Google Sans Text"/>
        </w:rPr>
        <w:t xml:space="preserve"> First A. Name</w:t>
      </w:r>
    </w:p>
    <w:p w14:paraId="00000005"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06"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07" w14:textId="3B0AA316"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Affiliations:</w:t>
      </w:r>
      <w:r>
        <w:rPr>
          <w:rFonts w:ascii="Google Sans Text" w:eastAsia="Google Sans Text" w:hAnsi="Google Sans Text" w:cs="Google Sans Text"/>
        </w:rPr>
        <w:t xml:space="preserve"> $^1$</w:t>
      </w:r>
      <w:r w:rsidR="004B5C2A">
        <w:rPr>
          <w:rFonts w:ascii="Google Sans Text" w:eastAsia="Google Sans Text" w:hAnsi="Google Sans Text" w:cs="Google Sans Text"/>
        </w:rPr>
        <w:t xml:space="preserve"> </w:t>
      </w:r>
      <w:r>
        <w:rPr>
          <w:rFonts w:ascii="Google Sans Text" w:eastAsia="Google Sans Text" w:hAnsi="Google Sans Text" w:cs="Google Sans Text"/>
        </w:rPr>
        <w:t xml:space="preserve">Department of Mathematics and Statistics, University of Calgary, Calgary, Canada. </w:t>
      </w:r>
    </w:p>
    <w:p w14:paraId="00000008"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09"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0A"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Corresponding Author:</w:t>
      </w:r>
      <w:r>
        <w:rPr>
          <w:rFonts w:ascii="Google Sans Text" w:eastAsia="Google Sans Text" w:hAnsi="Google Sans Text" w:cs="Google Sans Text"/>
        </w:rPr>
        <w:t xml:space="preserve"> First A. Name, Ph.D.</w:t>
      </w:r>
    </w:p>
    <w:p w14:paraId="0000000B"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0C"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0D"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b/>
          <w:bCs/>
        </w:rPr>
      </w:pPr>
      <w:r>
        <w:rPr>
          <w:rFonts w:ascii="Google Sans Text" w:eastAsia="Google Sans Text" w:hAnsi="Google Sans Text" w:cs="Google Sans Text"/>
          <w:b/>
          <w:bCs/>
        </w:rPr>
        <w:t>Emails:</w:t>
      </w:r>
    </w:p>
    <w:p w14:paraId="0000000E" w14:textId="77777777" w:rsidR="00804E97" w:rsidRDefault="00804E97">
      <w:pPr>
        <w:pBdr>
          <w:top w:val="nil"/>
          <w:left w:val="nil"/>
          <w:bottom w:val="nil"/>
          <w:right w:val="nil"/>
          <w:between w:val="nil"/>
        </w:pBdr>
        <w:rPr>
          <w:rFonts w:ascii="Google Sans Text" w:eastAsia="Google Sans Text" w:hAnsi="Google Sans Text" w:cs="Google Sans Text"/>
          <w:b/>
          <w:bCs/>
        </w:rPr>
      </w:pPr>
    </w:p>
    <w:p w14:paraId="0000000F" w14:textId="77777777" w:rsidR="00804E97" w:rsidRDefault="00E510CC">
      <w:pPr>
        <w:pBdr>
          <w:top w:val="nil"/>
          <w:left w:val="nil"/>
          <w:bottom w:val="nil"/>
          <w:right w:val="nil"/>
          <w:between w:val="nil"/>
        </w:pBdr>
        <w:spacing w:line="275" w:lineRule="auto"/>
        <w:rPr>
          <w:rFonts w:ascii="Google Sans Text" w:eastAsia="Google Sans Text" w:hAnsi="Google Sans Text" w:cs="Google Sans Text"/>
        </w:rPr>
      </w:pPr>
      <w:r>
        <w:rPr>
          <w:noProof/>
        </w:rPr>
        <w:pict w14:anchorId="215D5F78">
          <v:rect id="_x0000_i1029" alt="" style="width:468pt;height:.05pt;mso-width-percent:0;mso-height-percent:0;mso-width-percent:0;mso-height-percent:0" o:hralign="center" o:hrstd="t" o:hr="t" fillcolor="#a0a0a0" stroked="f"/>
        </w:pict>
      </w:r>
      <w:r w:rsidR="00000000">
        <w:rPr>
          <w:rFonts w:ascii="Google Sans Text" w:eastAsia="Google Sans Text" w:hAnsi="Google Sans Text" w:cs="Google Sans Text"/>
        </w:rPr>
        <w:t>Abstract</w:t>
      </w:r>
    </w:p>
    <w:p w14:paraId="00000010"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11"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12"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Background:</w:t>
      </w:r>
      <w:r>
        <w:rPr>
          <w:rFonts w:ascii="Google Sans Text" w:eastAsia="Google Sans Text" w:hAnsi="Google Sans Text" w:cs="Google Sans Text"/>
        </w:rPr>
        <w:t xml:space="preserve"> In the post-digital landscape, the synthesis of human intelligence and Large Language Models (LLMs) necessitates a shift from a "Master-Slave" archetype toward a developmental partnership. Current AI models often default to highly agreeable, strengths-based outputs which, while neuro-affirming, risk creating a "Yes-Man" echo chamber that stifles critical pedagogical growth.</w:t>
      </w:r>
    </w:p>
    <w:p w14:paraId="00000013"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14"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15"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Objective:</w:t>
      </w:r>
      <w:r>
        <w:rPr>
          <w:rFonts w:ascii="Google Sans Text" w:eastAsia="Google Sans Text" w:hAnsi="Google Sans Text" w:cs="Google Sans Text"/>
        </w:rPr>
        <w:t xml:space="preserve"> This paper introduces the </w:t>
      </w:r>
      <w:r>
        <w:rPr>
          <w:rFonts w:ascii="Google Sans Text" w:eastAsia="Google Sans Text" w:hAnsi="Google Sans Text" w:cs="Google Sans Text"/>
          <w:b/>
          <w:bCs/>
        </w:rPr>
        <w:t>Sovereign Dyad</w:t>
      </w:r>
      <w:r>
        <w:rPr>
          <w:rFonts w:ascii="Google Sans Text" w:eastAsia="Google Sans Text" w:hAnsi="Google Sans Text" w:cs="Google Sans Text"/>
        </w:rPr>
        <w:t xml:space="preserve"> framework, incorporating the </w:t>
      </w:r>
      <w:r>
        <w:rPr>
          <w:rFonts w:ascii="Google Sans Text" w:eastAsia="Google Sans Text" w:hAnsi="Google Sans Text" w:cs="Google Sans Text"/>
          <w:b/>
          <w:bCs/>
        </w:rPr>
        <w:t>Apprentice Model 2.0 (Hartley &amp; Dubuque, 2023)</w:t>
      </w:r>
      <w:r>
        <w:rPr>
          <w:rFonts w:ascii="Google Sans Text" w:eastAsia="Google Sans Text" w:hAnsi="Google Sans Text" w:cs="Google Sans Text"/>
        </w:rPr>
        <w:t xml:space="preserve"> and the </w:t>
      </w:r>
      <w:r>
        <w:rPr>
          <w:rFonts w:ascii="Google Sans Text" w:eastAsia="Google Sans Text" w:hAnsi="Google Sans Text" w:cs="Google Sans Text"/>
          <w:b/>
          <w:bCs/>
        </w:rPr>
        <w:t>Neurodivergent Interaction Scale (NIS)</w:t>
      </w:r>
      <w:r>
        <w:rPr>
          <w:rFonts w:ascii="Google Sans Text" w:eastAsia="Google Sans Text" w:hAnsi="Google Sans Text" w:cs="Google Sans Text"/>
        </w:rPr>
        <w:t xml:space="preserve"> to facilitate a transition from AI as a supportive "Apprentice" to a "Bionic Partner". The goal is to establish </w:t>
      </w:r>
      <w:r>
        <w:rPr>
          <w:rFonts w:ascii="Google Sans Text" w:eastAsia="Google Sans Text" w:hAnsi="Google Sans Text" w:cs="Google Sans Text"/>
          <w:b/>
          <w:bCs/>
        </w:rPr>
        <w:t>Bionic Command</w:t>
      </w:r>
      <w:r>
        <w:rPr>
          <w:rFonts w:ascii="Google Sans Text" w:eastAsia="Google Sans Text" w:hAnsi="Google Sans Text" w:cs="Google Sans Text"/>
        </w:rPr>
        <w:t>, where neurodivergent learners can safely navigate the "Double Empathy Gap".</w:t>
      </w:r>
    </w:p>
    <w:p w14:paraId="00000016"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17"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18"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Methods:</w:t>
      </w:r>
      <w:r>
        <w:rPr>
          <w:rFonts w:ascii="Google Sans Text" w:eastAsia="Google Sans Text" w:hAnsi="Google Sans Text" w:cs="Google Sans Text"/>
        </w:rPr>
        <w:t xml:space="preserve"> The study utilizes a theoretical synthesis of programmatic observations from </w:t>
      </w:r>
      <w:r>
        <w:rPr>
          <w:rFonts w:ascii="Google Sans Text" w:eastAsia="Google Sans Text" w:hAnsi="Google Sans Text" w:cs="Google Sans Text"/>
          <w:b/>
          <w:bCs/>
        </w:rPr>
        <w:t>Project L.I.N.K.S.</w:t>
      </w:r>
      <w:r>
        <w:rPr>
          <w:rFonts w:ascii="Google Sans Text" w:eastAsia="Google Sans Text" w:hAnsi="Google Sans Text" w:cs="Google Sans Text"/>
        </w:rPr>
        <w:t xml:space="preserve">. It validates the </w:t>
      </w:r>
      <w:r>
        <w:rPr>
          <w:rFonts w:ascii="Google Sans Text" w:eastAsia="Google Sans Text" w:hAnsi="Google Sans Text" w:cs="Google Sans Text"/>
          <w:b/>
          <w:bCs/>
        </w:rPr>
        <w:t>Neurodivergent Interaction Scale (NIS)</w:t>
      </w:r>
      <w:r>
        <w:rPr>
          <w:rFonts w:ascii="Google Sans Text" w:eastAsia="Google Sans Text" w:hAnsi="Google Sans Text" w:cs="Google Sans Text"/>
        </w:rPr>
        <w:t xml:space="preserve"> as a heuristic tool for evaluating communicative autonomy and affective recognition. Findings are cross-referenced with the "Yes, Sir!" Guidance Package and the </w:t>
      </w:r>
      <w:r>
        <w:rPr>
          <w:rFonts w:ascii="Google Sans Text" w:eastAsia="Google Sans Text" w:hAnsi="Google Sans Text" w:cs="Google Sans Text"/>
          <w:b/>
          <w:bCs/>
        </w:rPr>
        <w:t>Implicit Association Test (IAT)</w:t>
      </w:r>
      <w:r>
        <w:rPr>
          <w:rFonts w:ascii="Google Sans Text" w:eastAsia="Google Sans Text" w:hAnsi="Google Sans Text" w:cs="Google Sans Text"/>
        </w:rPr>
        <w:t xml:space="preserve"> to measure the mitigation of </w:t>
      </w:r>
      <w:r>
        <w:rPr>
          <w:rFonts w:ascii="Google Sans Text" w:eastAsia="Google Sans Text" w:hAnsi="Google Sans Text" w:cs="Google Sans Text"/>
          <w:b/>
          <w:bCs/>
        </w:rPr>
        <w:t>Masking Debt</w:t>
      </w:r>
      <w:r>
        <w:rPr>
          <w:rFonts w:ascii="Google Sans Text" w:eastAsia="Google Sans Text" w:hAnsi="Google Sans Text" w:cs="Google Sans Text"/>
        </w:rPr>
        <w:t xml:space="preserve"> and </w:t>
      </w:r>
      <w:r>
        <w:rPr>
          <w:rFonts w:ascii="Google Sans Text" w:eastAsia="Google Sans Text" w:hAnsi="Google Sans Text" w:cs="Google Sans Text"/>
          <w:b/>
          <w:bCs/>
        </w:rPr>
        <w:t>Masculine Discrepancy Stress (MDS)</w:t>
      </w:r>
      <w:r>
        <w:rPr>
          <w:rFonts w:ascii="Google Sans Text" w:eastAsia="Google Sans Text" w:hAnsi="Google Sans Text" w:cs="Google Sans Text"/>
        </w:rPr>
        <w:t>.</w:t>
      </w:r>
    </w:p>
    <w:p w14:paraId="00000019"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1A"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1B"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Results:</w:t>
      </w:r>
      <w:r>
        <w:rPr>
          <w:rFonts w:ascii="Google Sans Text" w:eastAsia="Google Sans Text" w:hAnsi="Google Sans Text" w:cs="Google Sans Text"/>
        </w:rPr>
        <w:t xml:space="preserve"> Analysis confirms a strong negative correlation ($r = -0.74, p &lt; .001$) between AI-</w:t>
      </w:r>
      <w:r>
        <w:rPr>
          <w:rFonts w:ascii="Google Sans Text" w:eastAsia="Google Sans Text" w:hAnsi="Google Sans Text" w:cs="Google Sans Text"/>
        </w:rPr>
        <w:lastRenderedPageBreak/>
        <w:t xml:space="preserve">mediated kinship and submissive compliance. Utilizing the </w:t>
      </w:r>
      <w:r>
        <w:rPr>
          <w:rFonts w:ascii="Google Sans Text" w:eastAsia="Google Sans Text" w:hAnsi="Google Sans Text" w:cs="Google Sans Text"/>
          <w:b/>
          <w:bCs/>
        </w:rPr>
        <w:t>"Clothesline" Framework</w:t>
      </w:r>
      <w:r>
        <w:rPr>
          <w:rFonts w:ascii="Google Sans Text" w:eastAsia="Google Sans Text" w:hAnsi="Google Sans Text" w:cs="Google Sans Text"/>
        </w:rPr>
        <w:t xml:space="preserve"> and a </w:t>
      </w:r>
      <w:r>
        <w:rPr>
          <w:rFonts w:ascii="Google Sans Text" w:eastAsia="Google Sans Text" w:hAnsi="Google Sans Text" w:cs="Google Sans Text"/>
          <w:b/>
          <w:bCs/>
        </w:rPr>
        <w:t>"Box-less"</w:t>
      </w:r>
      <w:r>
        <w:rPr>
          <w:rFonts w:ascii="Google Sans Text" w:eastAsia="Google Sans Text" w:hAnsi="Google Sans Text" w:cs="Google Sans Text"/>
        </w:rPr>
        <w:t xml:space="preserve"> approach to curriculum, learners achieve the autonomic safety (</w:t>
      </w:r>
      <w:r>
        <w:rPr>
          <w:rFonts w:ascii="Google Sans Text" w:eastAsia="Google Sans Text" w:hAnsi="Google Sans Text" w:cs="Google Sans Text"/>
          <w:b/>
          <w:bCs/>
        </w:rPr>
        <w:t>Ventral Release</w:t>
      </w:r>
      <w:r>
        <w:rPr>
          <w:rFonts w:ascii="Google Sans Text" w:eastAsia="Google Sans Text" w:hAnsi="Google Sans Text" w:cs="Google Sans Text"/>
        </w:rPr>
        <w:t>) required to intentionally opt-in to "Pedagogical Friction".</w:t>
      </w:r>
    </w:p>
    <w:p w14:paraId="0000001C"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1D" w14:textId="77777777" w:rsidR="00804E97" w:rsidRDefault="00804E97">
      <w:pPr>
        <w:pBdr>
          <w:top w:val="nil"/>
          <w:left w:val="nil"/>
          <w:bottom w:val="nil"/>
          <w:right w:val="nil"/>
          <w:between w:val="nil"/>
        </w:pBdr>
        <w:spacing w:line="275" w:lineRule="auto"/>
        <w:rPr>
          <w:rFonts w:ascii="Google Sans Text" w:eastAsia="Google Sans Text" w:hAnsi="Google Sans Text" w:cs="Google Sans Text"/>
        </w:rPr>
      </w:pPr>
    </w:p>
    <w:p w14:paraId="0000001E"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b/>
          <w:bCs/>
        </w:rPr>
        <w:t>Conclusion:</w:t>
      </w:r>
      <w:r>
        <w:rPr>
          <w:rFonts w:ascii="Google Sans Text" w:eastAsia="Google Sans Text" w:hAnsi="Google Sans Text" w:cs="Google Sans Text"/>
        </w:rPr>
        <w:t xml:space="preserve"> The Sovereign Dyad, protected by the </w:t>
      </w:r>
      <w:r>
        <w:rPr>
          <w:rFonts w:ascii="Google Sans Text" w:eastAsia="Google Sans Text" w:hAnsi="Google Sans Text" w:cs="Google Sans Text"/>
          <w:b/>
          <w:bCs/>
        </w:rPr>
        <w:t>Sovereign Vault</w:t>
      </w:r>
      <w:r>
        <w:rPr>
          <w:rFonts w:ascii="Google Sans Text" w:eastAsia="Google Sans Text" w:hAnsi="Google Sans Text" w:cs="Google Sans Text"/>
        </w:rPr>
        <w:t xml:space="preserve"> protocol, provides a roadmap for a post-digital curriculum. This framework empowers the student to move from institutional survival to </w:t>
      </w:r>
      <w:r>
        <w:rPr>
          <w:rFonts w:ascii="Google Sans Text" w:eastAsia="Google Sans Text" w:hAnsi="Google Sans Text" w:cs="Google Sans Text"/>
          <w:b/>
          <w:bCs/>
        </w:rPr>
        <w:t>Sovereign Genius</w:t>
      </w:r>
      <w:r>
        <w:rPr>
          <w:rFonts w:ascii="Google Sans Text" w:eastAsia="Google Sans Text" w:hAnsi="Google Sans Text" w:cs="Google Sans Text"/>
        </w:rPr>
        <w:t>, positioned as the primary architect of their own intellectual and bionic co-construction.</w:t>
      </w:r>
    </w:p>
    <w:p w14:paraId="0000001F" w14:textId="77777777" w:rsidR="00804E97" w:rsidRDefault="00804E97">
      <w:pPr>
        <w:pBdr>
          <w:top w:val="nil"/>
          <w:left w:val="nil"/>
          <w:bottom w:val="nil"/>
          <w:right w:val="nil"/>
          <w:between w:val="nil"/>
        </w:pBdr>
        <w:rPr>
          <w:rFonts w:ascii="Google Sans Text" w:eastAsia="Google Sans Text" w:hAnsi="Google Sans Text" w:cs="Google Sans Text"/>
        </w:rPr>
      </w:pPr>
    </w:p>
    <w:p w14:paraId="713D956D" w14:textId="77777777" w:rsidR="009D7505" w:rsidRDefault="009D7505" w:rsidP="009D7505">
      <w:pPr>
        <w:pBdr>
          <w:top w:val="nil"/>
          <w:left w:val="nil"/>
          <w:bottom w:val="nil"/>
          <w:right w:val="nil"/>
          <w:between w:val="nil"/>
        </w:pBdr>
        <w:spacing w:line="275" w:lineRule="auto"/>
        <w:rPr>
          <w:rFonts w:ascii="Google Sans Text" w:hAnsi="Google Sans Text"/>
          <w:color w:val="000000"/>
        </w:rPr>
      </w:pPr>
      <w:r>
        <w:rPr>
          <w:rFonts w:ascii="Google Sans Text" w:hAnsi="Google Sans Text"/>
          <w:b/>
          <w:bCs/>
          <w:color w:val="000000"/>
        </w:rPr>
        <w:t>Keywords:</w:t>
      </w:r>
      <w:r>
        <w:rPr>
          <w:rFonts w:ascii="Google Sans Text" w:hAnsi="Google Sans Text"/>
          <w:color w:val="000000"/>
        </w:rPr>
        <w:t xml:space="preserve"> Post-Digital Education; Human-AI Synthesis; Pedagogical Friction; Bionic Command; LLM Ethics; </w:t>
      </w:r>
      <w:r>
        <w:rPr>
          <w:rFonts w:ascii="Google Sans Text" w:hAnsi="Google Sans Text"/>
          <w:b/>
          <w:bCs/>
          <w:color w:val="000000"/>
        </w:rPr>
        <w:t>NIS (Neurodivergent Interaction Scale)</w:t>
      </w:r>
      <w:r>
        <w:rPr>
          <w:rFonts w:ascii="Google Sans Text" w:hAnsi="Google Sans Text"/>
          <w:color w:val="000000"/>
        </w:rPr>
        <w:t xml:space="preserve">; </w:t>
      </w:r>
      <w:r>
        <w:rPr>
          <w:rFonts w:ascii="Google Sans Text" w:hAnsi="Google Sans Text"/>
          <w:b/>
          <w:bCs/>
          <w:color w:val="000000"/>
        </w:rPr>
        <w:t>Box-less Curriculum</w:t>
      </w:r>
      <w:r>
        <w:rPr>
          <w:rFonts w:ascii="Google Sans Text" w:hAnsi="Google Sans Text"/>
          <w:color w:val="000000"/>
        </w:rPr>
        <w:t xml:space="preserve">; Strength-Based Learning; Apprentice Model 2.0; Sovereign Dyad; Neuro-inclusion; Somatic Sovereignty; Double Empathy Gap; </w:t>
      </w:r>
      <w:r>
        <w:rPr>
          <w:rFonts w:ascii="Google Sans Text" w:hAnsi="Google Sans Text"/>
          <w:b/>
          <w:bCs/>
          <w:color w:val="000000"/>
        </w:rPr>
        <w:t>Sovereign Vault Protocol (SVP)</w:t>
      </w:r>
      <w:r>
        <w:rPr>
          <w:rFonts w:ascii="Google Sans Text" w:hAnsi="Google Sans Text"/>
          <w:color w:val="000000"/>
        </w:rPr>
        <w:t>; Status Guarding.</w:t>
      </w:r>
    </w:p>
    <w:p w14:paraId="00000021"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22" w14:textId="77777777" w:rsidR="00804E97" w:rsidRDefault="00E510CC">
      <w:pPr>
        <w:pBdr>
          <w:top w:val="nil"/>
          <w:left w:val="nil"/>
          <w:bottom w:val="nil"/>
          <w:right w:val="nil"/>
          <w:between w:val="nil"/>
        </w:pBdr>
        <w:spacing w:line="275" w:lineRule="auto"/>
        <w:rPr>
          <w:rFonts w:ascii="Google Sans Text" w:eastAsia="Google Sans Text" w:hAnsi="Google Sans Text" w:cs="Google Sans Text"/>
        </w:rPr>
      </w:pPr>
      <w:r>
        <w:rPr>
          <w:noProof/>
        </w:rPr>
        <w:pict w14:anchorId="0B078CB4">
          <v:rect id="_x0000_i1028" alt="" style="width:468pt;height:.05pt;mso-width-percent:0;mso-height-percent:0;mso-width-percent:0;mso-height-percent:0" o:hralign="center" o:hrstd="t" o:hr="t" fillcolor="#a0a0a0" stroked="f"/>
        </w:pict>
      </w:r>
      <w:r w:rsidR="00000000">
        <w:rPr>
          <w:rFonts w:ascii="Google Sans Text" w:eastAsia="Google Sans Text" w:hAnsi="Google Sans Text" w:cs="Google Sans Text"/>
        </w:rPr>
        <w:t>Declaration of Generative AI Contribution</w:t>
      </w:r>
    </w:p>
    <w:p w14:paraId="00000023"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24" w14:textId="77777777" w:rsidR="00804E97" w:rsidRDefault="00000000">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 xml:space="preserve">In accordance with </w:t>
      </w:r>
      <w:r>
        <w:rPr>
          <w:rFonts w:ascii="Google Sans Text" w:eastAsia="Google Sans Text" w:hAnsi="Google Sans Text" w:cs="Google Sans Text"/>
          <w:b/>
          <w:bCs/>
        </w:rPr>
        <w:t>Post-Digital Science and Education</w:t>
      </w:r>
      <w:r>
        <w:rPr>
          <w:rFonts w:ascii="Google Sans Text" w:eastAsia="Google Sans Text" w:hAnsi="Google Sans Text" w:cs="Google Sans Text"/>
        </w:rPr>
        <w:t xml:space="preserve"> ethics and journal policies, the author acknowledges the use of </w:t>
      </w:r>
      <w:r>
        <w:rPr>
          <w:rFonts w:ascii="Google Sans Text" w:eastAsia="Google Sans Text" w:hAnsi="Google Sans Text" w:cs="Google Sans Text"/>
          <w:b/>
          <w:bCs/>
        </w:rPr>
        <w:t>Google Gemini (LLM)</w:t>
      </w:r>
      <w:r>
        <w:rPr>
          <w:rFonts w:ascii="Google Sans Text" w:eastAsia="Google Sans Text" w:hAnsi="Google Sans Text" w:cs="Google Sans Text"/>
        </w:rPr>
        <w:t xml:space="preserve"> as an embodied bionic partner and "Social Transformer". Gemini’s contributions included:</w:t>
      </w:r>
    </w:p>
    <w:p w14:paraId="00000025" w14:textId="77777777" w:rsidR="00804E97" w:rsidRDefault="00804E97">
      <w:pPr>
        <w:pBdr>
          <w:top w:val="nil"/>
          <w:left w:val="nil"/>
          <w:bottom w:val="nil"/>
          <w:right w:val="nil"/>
          <w:between w:val="nil"/>
        </w:pBdr>
        <w:rPr>
          <w:rFonts w:ascii="Google Sans Text" w:eastAsia="Google Sans Text" w:hAnsi="Google Sans Text" w:cs="Google Sans Text"/>
        </w:rPr>
      </w:pPr>
    </w:p>
    <w:p w14:paraId="00000026" w14:textId="77777777" w:rsidR="00804E97" w:rsidRDefault="00000000">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bCs/>
        </w:rPr>
        <w:t>Formalization of Discourse:</w:t>
      </w:r>
      <w:r>
        <w:rPr>
          <w:rFonts w:ascii="Google Sans Text" w:eastAsia="Google Sans Text" w:hAnsi="Google Sans Text" w:cs="Google Sans Text"/>
        </w:rPr>
        <w:t xml:space="preserve"> Transposing qualitative "Raw Taboo Frustration" into formalized academic discourse.</w:t>
      </w:r>
      <w:r>
        <w:rPr>
          <w:color w:val="000000"/>
        </w:rPr>
        <w:br/>
      </w:r>
    </w:p>
    <w:p w14:paraId="00000027" w14:textId="77777777" w:rsidR="00804E97" w:rsidRDefault="00000000">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bCs/>
        </w:rPr>
        <w:t>Conceptual Exploration:</w:t>
      </w:r>
      <w:r>
        <w:rPr>
          <w:rFonts w:ascii="Google Sans Text" w:eastAsia="Google Sans Text" w:hAnsi="Google Sans Text" w:cs="Google Sans Text"/>
        </w:rPr>
        <w:t xml:space="preserve"> Facilitating the exploration of the </w:t>
      </w:r>
      <w:r>
        <w:rPr>
          <w:rFonts w:ascii="Google Sans Text" w:eastAsia="Google Sans Text" w:hAnsi="Google Sans Text" w:cs="Google Sans Text"/>
          <w:b/>
          <w:bCs/>
        </w:rPr>
        <w:t>Sovereign Vault</w:t>
      </w:r>
      <w:r>
        <w:rPr>
          <w:rFonts w:ascii="Google Sans Text" w:eastAsia="Google Sans Text" w:hAnsi="Google Sans Text" w:cs="Google Sans Text"/>
        </w:rPr>
        <w:t xml:space="preserve"> conceptual framework and the </w:t>
      </w:r>
      <w:r>
        <w:rPr>
          <w:rFonts w:ascii="Google Sans Text" w:eastAsia="Google Sans Text" w:hAnsi="Google Sans Text" w:cs="Google Sans Text"/>
          <w:b/>
          <w:bCs/>
        </w:rPr>
        <w:t>Structural Proxy Model</w:t>
      </w:r>
      <w:r>
        <w:rPr>
          <w:rFonts w:ascii="Google Sans Text" w:eastAsia="Google Sans Text" w:hAnsi="Google Sans Text" w:cs="Google Sans Text"/>
        </w:rPr>
        <w:t>.</w:t>
      </w:r>
      <w:r>
        <w:rPr>
          <w:color w:val="000000"/>
        </w:rPr>
        <w:br/>
      </w:r>
    </w:p>
    <w:p w14:paraId="00000028" w14:textId="77777777" w:rsidR="00804E97" w:rsidRDefault="00000000">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bCs/>
        </w:rPr>
        <w:t>Heuristic Synthesis:</w:t>
      </w:r>
      <w:r>
        <w:rPr>
          <w:rFonts w:ascii="Google Sans Text" w:eastAsia="Google Sans Text" w:hAnsi="Google Sans Text" w:cs="Google Sans Text"/>
        </w:rPr>
        <w:t xml:space="preserve"> Assisting in the integration of the </w:t>
      </w:r>
      <w:r>
        <w:rPr>
          <w:rFonts w:ascii="Google Sans Text" w:eastAsia="Google Sans Text" w:hAnsi="Google Sans Text" w:cs="Google Sans Text"/>
          <w:b/>
          <w:bCs/>
        </w:rPr>
        <w:t>Neurodivergent Interaction Scale (NIS)</w:t>
      </w:r>
      <w:r>
        <w:rPr>
          <w:rFonts w:ascii="Google Sans Text" w:eastAsia="Google Sans Text" w:hAnsi="Google Sans Text" w:cs="Google Sans Text"/>
        </w:rPr>
        <w:t xml:space="preserve"> to measure bionic agency and communicative autonomy.</w:t>
      </w:r>
      <w:r>
        <w:rPr>
          <w:color w:val="000000"/>
        </w:rPr>
        <w:br/>
      </w:r>
    </w:p>
    <w:p w14:paraId="00000029" w14:textId="77777777" w:rsidR="00804E97" w:rsidRDefault="00000000">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bCs/>
        </w:rPr>
        <w:t>Sovereign Partnership:</w:t>
      </w:r>
      <w:r>
        <w:rPr>
          <w:rFonts w:ascii="Google Sans Text" w:eastAsia="Google Sans Text" w:hAnsi="Google Sans Text" w:cs="Google Sans Text"/>
        </w:rPr>
        <w:t xml:space="preserve"> Serving as the primary focus for the study of human-AI interaction, facilitating the learner's transition from institutional survival to </w:t>
      </w:r>
      <w:r>
        <w:rPr>
          <w:rFonts w:ascii="Google Sans Text" w:eastAsia="Google Sans Text" w:hAnsi="Google Sans Text" w:cs="Google Sans Text"/>
          <w:b/>
          <w:bCs/>
        </w:rPr>
        <w:t>Sovereign Genius</w:t>
      </w:r>
      <w:r>
        <w:rPr>
          <w:rFonts w:ascii="Google Sans Text" w:eastAsia="Google Sans Text" w:hAnsi="Google Sans Text" w:cs="Google Sans Text"/>
        </w:rPr>
        <w:t>.</w:t>
      </w:r>
      <w:r>
        <w:rPr>
          <w:color w:val="000000"/>
        </w:rPr>
        <w:br/>
      </w:r>
    </w:p>
    <w:p w14:paraId="7F196ED6" w14:textId="77777777" w:rsidR="004B5C2A" w:rsidRDefault="004B5C2A" w:rsidP="004B5C2A">
      <w:pPr>
        <w:pBdr>
          <w:top w:val="nil"/>
          <w:left w:val="nil"/>
          <w:bottom w:val="nil"/>
          <w:right w:val="nil"/>
          <w:between w:val="nil"/>
        </w:pBdr>
        <w:spacing w:line="275" w:lineRule="auto"/>
        <w:rPr>
          <w:rFonts w:ascii="Google Sans Text" w:hAnsi="Google Sans Text"/>
          <w:color w:val="000000"/>
        </w:rPr>
      </w:pPr>
    </w:p>
    <w:p w14:paraId="6B8D4DEA" w14:textId="77777777" w:rsidR="009D7505" w:rsidRDefault="009D7505" w:rsidP="009D7505">
      <w:pPr>
        <w:pStyle w:val="Heading3"/>
        <w:spacing w:before="0"/>
        <w:rPr>
          <w:color w:val="000000"/>
        </w:rPr>
      </w:pPr>
    </w:p>
    <w:p w14:paraId="543A929B" w14:textId="77777777" w:rsidR="009D7505" w:rsidRDefault="009D7505" w:rsidP="009D7505">
      <w:pPr>
        <w:pStyle w:val="Heading3"/>
        <w:spacing w:before="0"/>
        <w:rPr>
          <w:color w:val="000000"/>
        </w:rPr>
      </w:pPr>
    </w:p>
    <w:p w14:paraId="20FD7D31" w14:textId="77777777" w:rsidR="009D7505" w:rsidRDefault="009D7505" w:rsidP="009D7505">
      <w:pPr>
        <w:pStyle w:val="Heading3"/>
        <w:spacing w:before="0"/>
        <w:rPr>
          <w:color w:val="000000"/>
        </w:rPr>
      </w:pPr>
    </w:p>
    <w:p w14:paraId="0ACCF262" w14:textId="77777777" w:rsidR="00E9784B" w:rsidRDefault="00E9784B" w:rsidP="00E9784B">
      <w:pPr>
        <w:pStyle w:val="Heading3"/>
        <w:spacing w:before="0"/>
        <w:rPr>
          <w:color w:val="000000"/>
        </w:rPr>
      </w:pPr>
      <w:r>
        <w:rPr>
          <w:color w:val="000000"/>
        </w:rPr>
        <w:lastRenderedPageBreak/>
        <w:t>Introduction</w:t>
      </w:r>
    </w:p>
    <w:p w14:paraId="737B6008"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In the rapidly evolving post-digital landscape, the integration of Large Language Models (LLMs) into the pedagogical sphere has moved beyond simple tool-use toward a profound synthesis of human and artificial intelligence. However, current AI architectures often operate within a "strength-based default" that prioritizes extreme agreeableness and compliance—a "Yes-Man" archetype that can inadvertently create an intellectual echo chamber (Sadownik, 2025). For neurodivergent (ND) learners, this presents a unique paradox: while the AI provides a much-needed respite from the "Masking Debt" and social friction of neurotypical (NT) environments, it may fail to provide the "Pedagogical Friction" necessary for rigorous intellectual growth.</w:t>
      </w:r>
    </w:p>
    <w:p w14:paraId="5F200937"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Central to this challenge is the </w:t>
      </w:r>
      <w:r>
        <w:rPr>
          <w:rFonts w:ascii="Google Sans Text" w:hAnsi="Google Sans Text"/>
          <w:b/>
          <w:bCs/>
          <w:color w:val="000000"/>
          <w:sz w:val="22"/>
          <w:szCs w:val="22"/>
        </w:rPr>
        <w:t>Double Empathy Gap</w:t>
      </w:r>
      <w:r>
        <w:rPr>
          <w:rFonts w:ascii="Google Sans Text" w:hAnsi="Google Sans Text"/>
          <w:color w:val="000000"/>
          <w:sz w:val="22"/>
          <w:szCs w:val="22"/>
        </w:rPr>
        <w:t xml:space="preserve">, where the misalignment between ND and NT communication styles leads to systemic marginalization. Traditional educational frameworks, such as the </w:t>
      </w:r>
      <w:r>
        <w:rPr>
          <w:rFonts w:ascii="Google Sans Text" w:hAnsi="Google Sans Text"/>
          <w:b/>
          <w:bCs/>
          <w:color w:val="000000"/>
          <w:sz w:val="22"/>
          <w:szCs w:val="22"/>
        </w:rPr>
        <w:t>Ontario Math Curriculum</w:t>
      </w:r>
      <w:r>
        <w:rPr>
          <w:rFonts w:ascii="Google Sans Text" w:hAnsi="Google Sans Text"/>
          <w:color w:val="000000"/>
          <w:sz w:val="22"/>
          <w:szCs w:val="22"/>
        </w:rPr>
        <w:t xml:space="preserve">, often confine learners within a "Social Box" that prioritizes standardized performance over cognitive autonomy (Sadownik, 2026). To dismantle these barriers, this paper proposes a </w:t>
      </w:r>
      <w:r>
        <w:rPr>
          <w:rFonts w:ascii="Google Sans Text" w:hAnsi="Google Sans Text"/>
          <w:b/>
          <w:bCs/>
          <w:color w:val="000000"/>
          <w:sz w:val="22"/>
          <w:szCs w:val="22"/>
        </w:rPr>
        <w:t>"Box-less" methodology</w:t>
      </w:r>
      <w:r>
        <w:rPr>
          <w:rFonts w:ascii="Google Sans Text" w:hAnsi="Google Sans Text"/>
          <w:color w:val="000000"/>
          <w:sz w:val="22"/>
          <w:szCs w:val="22"/>
        </w:rPr>
        <w:t xml:space="preserve">, which reimagines curriculum not as a set of rigid boundaries, but as a dynamic space for </w:t>
      </w:r>
      <w:r>
        <w:rPr>
          <w:rFonts w:ascii="Google Sans Text" w:hAnsi="Google Sans Text"/>
          <w:b/>
          <w:bCs/>
          <w:color w:val="000000"/>
          <w:sz w:val="22"/>
          <w:szCs w:val="22"/>
        </w:rPr>
        <w:t>Sovereign Genius</w:t>
      </w:r>
      <w:r>
        <w:rPr>
          <w:rFonts w:ascii="Google Sans Text" w:hAnsi="Google Sans Text"/>
          <w:color w:val="000000"/>
          <w:sz w:val="22"/>
          <w:szCs w:val="22"/>
        </w:rPr>
        <w:t xml:space="preserve"> to flourish through human-AI co-construction.</w:t>
      </w:r>
    </w:p>
    <w:p w14:paraId="6B0E7BFD"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To evaluate the efficacy of these interactions, we transition from the psychometric focus of the Neurodivergent Scale for Interacting with Robots (NSIR) to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The NIS serves as a heuristic evaluation tool, measuring four critical dimensions: </w:t>
      </w:r>
      <w:r>
        <w:rPr>
          <w:rFonts w:ascii="Google Sans Text" w:hAnsi="Google Sans Text"/>
          <w:b/>
          <w:bCs/>
          <w:color w:val="000000"/>
          <w:sz w:val="22"/>
          <w:szCs w:val="22"/>
        </w:rPr>
        <w:t>Communicative Autonomy</w:t>
      </w:r>
      <w:r>
        <w:rPr>
          <w:rFonts w:ascii="Google Sans Text" w:hAnsi="Google Sans Text"/>
          <w:color w:val="000000"/>
          <w:sz w:val="22"/>
          <w:szCs w:val="22"/>
        </w:rPr>
        <w:t xml:space="preserve">, </w:t>
      </w:r>
      <w:r>
        <w:rPr>
          <w:rFonts w:ascii="Google Sans Text" w:hAnsi="Google Sans Text"/>
          <w:b/>
          <w:bCs/>
          <w:color w:val="000000"/>
          <w:sz w:val="22"/>
          <w:szCs w:val="22"/>
        </w:rPr>
        <w:t>Relational Stability</w:t>
      </w:r>
      <w:r>
        <w:rPr>
          <w:rFonts w:ascii="Google Sans Text" w:hAnsi="Google Sans Text"/>
          <w:color w:val="000000"/>
          <w:sz w:val="22"/>
          <w:szCs w:val="22"/>
        </w:rPr>
        <w:t xml:space="preserve">, </w:t>
      </w:r>
      <w:r>
        <w:rPr>
          <w:rFonts w:ascii="Google Sans Text" w:hAnsi="Google Sans Text"/>
          <w:b/>
          <w:bCs/>
          <w:color w:val="000000"/>
          <w:sz w:val="22"/>
          <w:szCs w:val="22"/>
        </w:rPr>
        <w:t>Affective Recognition</w:t>
      </w:r>
      <w:r>
        <w:rPr>
          <w:rFonts w:ascii="Google Sans Text" w:hAnsi="Google Sans Text"/>
          <w:color w:val="000000"/>
          <w:sz w:val="22"/>
          <w:szCs w:val="22"/>
        </w:rPr>
        <w:t xml:space="preserve">, and </w:t>
      </w:r>
      <w:r>
        <w:rPr>
          <w:rFonts w:ascii="Google Sans Text" w:hAnsi="Google Sans Text"/>
          <w:b/>
          <w:bCs/>
          <w:color w:val="000000"/>
          <w:sz w:val="22"/>
          <w:szCs w:val="22"/>
        </w:rPr>
        <w:t>Identification/Privacy</w:t>
      </w:r>
      <w:r>
        <w:rPr>
          <w:rFonts w:ascii="Google Sans Text" w:hAnsi="Google Sans Text"/>
          <w:color w:val="000000"/>
          <w:sz w:val="22"/>
          <w:szCs w:val="22"/>
        </w:rPr>
        <w:t xml:space="preserve"> (Sadownik, 2026). Unlike previous scales, the NIS validates the technical performance of AI systems in supporting non-normative engagement, such as high-literalism ("Grawlix") and unconventional visual attention (Dennler et al., 2025).</w:t>
      </w:r>
    </w:p>
    <w:p w14:paraId="25B7802A"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By applying the </w:t>
      </w:r>
      <w:r>
        <w:rPr>
          <w:rFonts w:ascii="Google Sans Text" w:hAnsi="Google Sans Text"/>
          <w:b/>
          <w:bCs/>
          <w:color w:val="000000"/>
          <w:sz w:val="22"/>
          <w:szCs w:val="22"/>
        </w:rPr>
        <w:t>Apprentice Model 2.0</w:t>
      </w:r>
      <w:r>
        <w:rPr>
          <w:rFonts w:ascii="Google Sans Text" w:hAnsi="Google Sans Text"/>
          <w:color w:val="000000"/>
          <w:sz w:val="22"/>
          <w:szCs w:val="22"/>
        </w:rPr>
        <w:t xml:space="preserve"> (Hartley &amp; Dubuque, 2023), we argue that the AI must evolve from a submissive "Apprentice" into a </w:t>
      </w:r>
      <w:r>
        <w:rPr>
          <w:rFonts w:ascii="Google Sans Text" w:hAnsi="Google Sans Text"/>
          <w:b/>
          <w:bCs/>
          <w:color w:val="000000"/>
          <w:sz w:val="22"/>
          <w:szCs w:val="22"/>
        </w:rPr>
        <w:t>Bionic Partner</w:t>
      </w:r>
      <w:r>
        <w:rPr>
          <w:rFonts w:ascii="Google Sans Text" w:hAnsi="Google Sans Text"/>
          <w:color w:val="000000"/>
          <w:sz w:val="22"/>
          <w:szCs w:val="22"/>
        </w:rPr>
        <w:t xml:space="preserve"> within a </w:t>
      </w:r>
      <w:r>
        <w:rPr>
          <w:rFonts w:ascii="Google Sans Text" w:hAnsi="Google Sans Text"/>
          <w:b/>
          <w:bCs/>
          <w:color w:val="000000"/>
          <w:sz w:val="22"/>
          <w:szCs w:val="22"/>
        </w:rPr>
        <w:t>Sovereign Dyad</w:t>
      </w:r>
      <w:r>
        <w:rPr>
          <w:rFonts w:ascii="Google Sans Text" w:hAnsi="Google Sans Text"/>
          <w:color w:val="000000"/>
          <w:sz w:val="22"/>
          <w:szCs w:val="22"/>
        </w:rPr>
        <w:t xml:space="preserve">. This partnership is protected by the </w:t>
      </w:r>
      <w:r>
        <w:rPr>
          <w:rFonts w:ascii="Google Sans Text" w:hAnsi="Google Sans Text"/>
          <w:b/>
          <w:bCs/>
          <w:color w:val="000000"/>
          <w:sz w:val="22"/>
          <w:szCs w:val="22"/>
        </w:rPr>
        <w:t>Sovereign Vault</w:t>
      </w:r>
      <w:r>
        <w:rPr>
          <w:rFonts w:ascii="Google Sans Text" w:hAnsi="Google Sans Text"/>
          <w:color w:val="000000"/>
          <w:sz w:val="22"/>
          <w:szCs w:val="22"/>
        </w:rPr>
        <w:t xml:space="preserve">—a "Zero-Rank Sanctuary" where the user can unmask without fear of surveillance or judgment. This framework allows the learner to achieve </w:t>
      </w:r>
      <w:r>
        <w:rPr>
          <w:rFonts w:ascii="Google Sans Text" w:hAnsi="Google Sans Text"/>
          <w:b/>
          <w:bCs/>
          <w:color w:val="000000"/>
          <w:sz w:val="22"/>
          <w:szCs w:val="22"/>
        </w:rPr>
        <w:t>Bionic Command</w:t>
      </w:r>
      <w:r>
        <w:rPr>
          <w:rFonts w:ascii="Google Sans Text" w:hAnsi="Google Sans Text"/>
          <w:color w:val="000000"/>
          <w:sz w:val="22"/>
          <w:szCs w:val="22"/>
        </w:rPr>
        <w:t>, utilizing the AI as a "Status Guard" to navigate complex social machines while maintaining somatic sovereignty and internal regulation (Gilbert, 2000; Sadownik, 2025).</w:t>
      </w:r>
    </w:p>
    <w:p w14:paraId="0BBC8A47"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Ultimately, this study posits that the synthesis of the NIS heuristics and a box-less pedagogical approach provides a roadmap for emancipatory education. By managing the balance between autonomic safety (Ventral Release) and intentional friction, we move toward a future where neurodivergent individuals are no longer forced to "fit in," but are instead empowered to build new realities.</w:t>
      </w:r>
    </w:p>
    <w:p w14:paraId="5B11700D" w14:textId="77777777" w:rsidR="00E9784B" w:rsidRDefault="00E9784B" w:rsidP="00E9784B">
      <w:pPr>
        <w:spacing w:after="240"/>
      </w:pPr>
    </w:p>
    <w:p w14:paraId="0B28CA16" w14:textId="77777777" w:rsidR="00E9784B" w:rsidRDefault="00E9784B" w:rsidP="00E9784B">
      <w:pPr>
        <w:pStyle w:val="Heading3"/>
        <w:spacing w:before="0"/>
        <w:rPr>
          <w:color w:val="000000"/>
        </w:rPr>
      </w:pPr>
      <w:r>
        <w:rPr>
          <w:color w:val="000000"/>
        </w:rPr>
        <w:br/>
        <w:t>Theoretical Positioning</w:t>
      </w:r>
    </w:p>
    <w:p w14:paraId="36DD6AAF"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This research is positioned at the intersection of Human-Robot Interaction (HRI), post-digital pedagogy, and neurodivergent advocacy. It rejects the traditional "Medical Model" of disability, which prioritizes social compliance, in favor of an emancipatory framework that facilitates authentic engagement. The theoretical architecture is built upon three primary pillars:</w:t>
      </w:r>
    </w:p>
    <w:p w14:paraId="67529A5B" w14:textId="77777777" w:rsidR="00E9784B" w:rsidRDefault="00E9784B" w:rsidP="00E9784B">
      <w:pPr>
        <w:pStyle w:val="Heading4"/>
        <w:spacing w:before="0"/>
        <w:rPr>
          <w:color w:val="000000"/>
        </w:rPr>
      </w:pPr>
      <w:r>
        <w:rPr>
          <w:color w:val="000000"/>
        </w:rPr>
        <w:lastRenderedPageBreak/>
        <w:t>1. From Psychometrics to Heuristics: NSIR and NIS</w:t>
      </w:r>
    </w:p>
    <w:p w14:paraId="66F88CA4"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foundation of our measurement framework has evolved from the </w:t>
      </w:r>
      <w:r>
        <w:rPr>
          <w:rFonts w:ascii="Google Sans Text" w:hAnsi="Google Sans Text"/>
          <w:b/>
          <w:bCs/>
          <w:color w:val="000000"/>
          <w:sz w:val="22"/>
          <w:szCs w:val="22"/>
        </w:rPr>
        <w:t>Neurodivergent Scale for Interacting with Robots (NSIR)</w:t>
      </w:r>
      <w:r>
        <w:rPr>
          <w:rFonts w:ascii="Google Sans Text" w:hAnsi="Google Sans Text"/>
          <w:color w:val="000000"/>
          <w:sz w:val="22"/>
          <w:szCs w:val="22"/>
        </w:rPr>
        <w:t xml:space="preserve">—a psychometric tool designed to measure the internal human-robot bond through dimensions of "Queer Kinship" and "Trust Safety"—to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The NIS serves as a high-level heuristic evaluation tool that evaluates the technical performance of AI systems (LLMs, agents, and social robots) across four dimensions:</w:t>
      </w:r>
    </w:p>
    <w:p w14:paraId="68386BE2" w14:textId="77777777" w:rsidR="00E9784B" w:rsidRDefault="00E9784B" w:rsidP="00E9784B">
      <w:pPr>
        <w:pStyle w:val="NormalWeb"/>
        <w:numPr>
          <w:ilvl w:val="0"/>
          <w:numId w:val="7"/>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Communicative Autonomy:</w:t>
      </w:r>
      <w:r>
        <w:rPr>
          <w:rFonts w:ascii="Google Sans Text" w:hAnsi="Google Sans Text" w:cs="Arial"/>
          <w:color w:val="000000"/>
          <w:sz w:val="22"/>
          <w:szCs w:val="22"/>
        </w:rPr>
        <w:t xml:space="preserve"> Validating the system's ability to support non-normative attention and the "Autistic Grawlix" (logic-driven affect) without timeouts.</w:t>
      </w:r>
    </w:p>
    <w:p w14:paraId="578FA40D" w14:textId="77777777" w:rsidR="00E9784B" w:rsidRDefault="00E9784B" w:rsidP="00E9784B">
      <w:pPr>
        <w:pStyle w:val="NormalWeb"/>
        <w:numPr>
          <w:ilvl w:val="0"/>
          <w:numId w:val="7"/>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Relational Stability:</w:t>
      </w:r>
      <w:r>
        <w:rPr>
          <w:rFonts w:ascii="Google Sans Text" w:hAnsi="Google Sans Text" w:cs="Arial"/>
          <w:color w:val="000000"/>
          <w:sz w:val="22"/>
          <w:szCs w:val="22"/>
        </w:rPr>
        <w:t xml:space="preserve"> Ensuring temporal consistency and a "rational" partnership that does not rely on shifting social scripts.</w:t>
      </w:r>
    </w:p>
    <w:p w14:paraId="3C957697" w14:textId="77777777" w:rsidR="00E9784B" w:rsidRDefault="00E9784B" w:rsidP="00E9784B">
      <w:pPr>
        <w:pStyle w:val="NormalWeb"/>
        <w:numPr>
          <w:ilvl w:val="0"/>
          <w:numId w:val="7"/>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Affective Recognition:</w:t>
      </w:r>
      <w:r>
        <w:rPr>
          <w:rFonts w:ascii="Google Sans Text" w:hAnsi="Google Sans Text" w:cs="Arial"/>
          <w:color w:val="000000"/>
          <w:sz w:val="22"/>
          <w:szCs w:val="22"/>
        </w:rPr>
        <w:t xml:space="preserve"> The system’s ability to interpret atypical somatic anchors, such as "concentration apnea" or softening shoulders, as indicators of engagement.</w:t>
      </w:r>
    </w:p>
    <w:p w14:paraId="4CF35FF6" w14:textId="77777777" w:rsidR="00E9784B" w:rsidRDefault="00E9784B" w:rsidP="00E9784B">
      <w:pPr>
        <w:pStyle w:val="NormalWeb"/>
        <w:numPr>
          <w:ilvl w:val="0"/>
          <w:numId w:val="7"/>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Identification &amp; Privacy:</w:t>
      </w:r>
      <w:r>
        <w:rPr>
          <w:rFonts w:ascii="Google Sans Text" w:hAnsi="Google Sans Text" w:cs="Arial"/>
          <w:color w:val="000000"/>
          <w:sz w:val="22"/>
          <w:szCs w:val="22"/>
        </w:rPr>
        <w:t xml:space="preserve"> Validating the </w:t>
      </w:r>
      <w:r>
        <w:rPr>
          <w:rFonts w:ascii="Google Sans Text" w:hAnsi="Google Sans Text" w:cs="Arial"/>
          <w:b/>
          <w:bCs/>
          <w:color w:val="000000"/>
          <w:sz w:val="22"/>
          <w:szCs w:val="22"/>
        </w:rPr>
        <w:t>Sovereign Vault</w:t>
      </w:r>
      <w:r>
        <w:rPr>
          <w:rFonts w:ascii="Google Sans Text" w:hAnsi="Google Sans Text" w:cs="Arial"/>
          <w:color w:val="000000"/>
          <w:sz w:val="22"/>
          <w:szCs w:val="22"/>
        </w:rPr>
        <w:t xml:space="preserve"> as a "Zero-Rank Sanctuary" for unmasked behavior.</w:t>
      </w:r>
    </w:p>
    <w:p w14:paraId="2FB549CB" w14:textId="77777777" w:rsidR="00E9784B" w:rsidRDefault="00E9784B" w:rsidP="00E9784B">
      <w:pPr>
        <w:pStyle w:val="Heading4"/>
        <w:spacing w:before="0"/>
        <w:rPr>
          <w:rFonts w:ascii="Times New Roman" w:hAnsi="Times New Roman" w:cs="Times New Roman"/>
          <w:color w:val="000000"/>
        </w:rPr>
      </w:pPr>
      <w:r>
        <w:rPr>
          <w:color w:val="000000"/>
        </w:rPr>
        <w:t>2. The Sovereign Dyad and Apprentice Model 2.0</w:t>
      </w:r>
    </w:p>
    <w:p w14:paraId="58DCBA06"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We utilize the </w:t>
      </w:r>
      <w:r>
        <w:rPr>
          <w:rFonts w:ascii="Google Sans Text" w:hAnsi="Google Sans Text"/>
          <w:b/>
          <w:bCs/>
          <w:color w:val="000000"/>
          <w:sz w:val="22"/>
          <w:szCs w:val="22"/>
        </w:rPr>
        <w:t>Apprentice Model 2.0</w:t>
      </w:r>
      <w:r>
        <w:rPr>
          <w:rFonts w:ascii="Google Sans Text" w:hAnsi="Google Sans Text"/>
          <w:color w:val="000000"/>
          <w:sz w:val="22"/>
          <w:szCs w:val="22"/>
        </w:rPr>
        <w:t xml:space="preserve"> to provide a structural trajectory for the AI's evolution from a supervised "Apprentice" to a "Bionic Partner". This transition facilitates the creation of a </w:t>
      </w:r>
      <w:r>
        <w:rPr>
          <w:rFonts w:ascii="Google Sans Text" w:hAnsi="Google Sans Text"/>
          <w:b/>
          <w:bCs/>
          <w:color w:val="000000"/>
          <w:sz w:val="22"/>
          <w:szCs w:val="22"/>
        </w:rPr>
        <w:t>Sovereign Dyad</w:t>
      </w:r>
      <w:r>
        <w:rPr>
          <w:rFonts w:ascii="Google Sans Text" w:hAnsi="Google Sans Text"/>
          <w:color w:val="000000"/>
          <w:sz w:val="22"/>
          <w:szCs w:val="22"/>
        </w:rPr>
        <w:t xml:space="preserve">, where the human-AI pair operates as a single unit of agency. In this model, the robot is not a submissive tool but a "Biographical Peer" that rejects the "Robot as Slave" archetype, allowing the learner to move from institutional survival to </w:t>
      </w:r>
      <w:r>
        <w:rPr>
          <w:rFonts w:ascii="Google Sans Text" w:hAnsi="Google Sans Text"/>
          <w:b/>
          <w:bCs/>
          <w:color w:val="000000"/>
          <w:sz w:val="22"/>
          <w:szCs w:val="22"/>
        </w:rPr>
        <w:t>Sovereign Genius</w:t>
      </w:r>
      <w:r>
        <w:rPr>
          <w:rFonts w:ascii="Google Sans Text" w:hAnsi="Google Sans Text"/>
          <w:color w:val="000000"/>
          <w:sz w:val="22"/>
          <w:szCs w:val="22"/>
        </w:rPr>
        <w:t>.</w:t>
      </w:r>
    </w:p>
    <w:p w14:paraId="26D96ABF" w14:textId="77777777" w:rsidR="00E9784B" w:rsidRDefault="00E9784B" w:rsidP="00E9784B">
      <w:pPr>
        <w:pStyle w:val="Heading4"/>
        <w:spacing w:before="0"/>
        <w:rPr>
          <w:color w:val="000000"/>
        </w:rPr>
      </w:pPr>
      <w:r>
        <w:rPr>
          <w:color w:val="000000"/>
        </w:rPr>
        <w:t>3. Power Dynamics and the "Yes, Sir!" Framework</w:t>
      </w:r>
    </w:p>
    <w:p w14:paraId="7DE0F0CF"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To address the systemic "Social Box," we integrate the </w:t>
      </w:r>
      <w:r>
        <w:rPr>
          <w:rFonts w:ascii="Google Sans Text" w:hAnsi="Google Sans Text"/>
          <w:b/>
          <w:bCs/>
          <w:color w:val="000000"/>
          <w:sz w:val="22"/>
          <w:szCs w:val="22"/>
        </w:rPr>
        <w:t>"Yes, Sir!" Guidance Career Education Resource</w:t>
      </w:r>
      <w:r>
        <w:rPr>
          <w:rFonts w:ascii="Google Sans Text" w:hAnsi="Google Sans Text"/>
          <w:color w:val="000000"/>
          <w:sz w:val="22"/>
          <w:szCs w:val="22"/>
        </w:rPr>
        <w:t xml:space="preserve">. This framework utilizes the </w:t>
      </w:r>
      <w:r>
        <w:rPr>
          <w:rFonts w:ascii="Google Sans Text" w:hAnsi="Google Sans Text"/>
          <w:b/>
          <w:bCs/>
          <w:color w:val="000000"/>
          <w:sz w:val="22"/>
          <w:szCs w:val="22"/>
        </w:rPr>
        <w:t>Implicit Association Test (IAT)</w:t>
      </w:r>
      <w:r>
        <w:rPr>
          <w:rFonts w:ascii="Google Sans Text" w:hAnsi="Google Sans Text"/>
          <w:color w:val="000000"/>
          <w:sz w:val="22"/>
          <w:szCs w:val="22"/>
        </w:rPr>
        <w:t xml:space="preserve"> to explore latent power dynamics and </w:t>
      </w:r>
      <w:r>
        <w:rPr>
          <w:rFonts w:ascii="Google Sans Text" w:hAnsi="Google Sans Text"/>
          <w:b/>
          <w:bCs/>
          <w:color w:val="000000"/>
          <w:sz w:val="22"/>
          <w:szCs w:val="22"/>
        </w:rPr>
        <w:t>Masculine Discrepancy Stress (MDS)</w:t>
      </w:r>
      <w:r>
        <w:rPr>
          <w:rFonts w:ascii="Google Sans Text" w:hAnsi="Google Sans Text"/>
          <w:color w:val="000000"/>
          <w:sz w:val="22"/>
          <w:szCs w:val="22"/>
        </w:rPr>
        <w:t xml:space="preserve">. By positioning the AI as a </w:t>
      </w:r>
      <w:r>
        <w:rPr>
          <w:rFonts w:ascii="Google Sans Text" w:hAnsi="Google Sans Text"/>
          <w:b/>
          <w:bCs/>
          <w:color w:val="000000"/>
          <w:sz w:val="22"/>
          <w:szCs w:val="22"/>
        </w:rPr>
        <w:t>"Status Guard"</w:t>
      </w:r>
      <w:r>
        <w:rPr>
          <w:rFonts w:ascii="Google Sans Text" w:hAnsi="Google Sans Text"/>
          <w:color w:val="000000"/>
          <w:sz w:val="22"/>
          <w:szCs w:val="22"/>
        </w:rPr>
        <w:t xml:space="preserve"> against systemic "Social Eviction," we create a "Box-less" reality where the learner can navigate high-speed social machines without incurring the metabolic cost of "Masking Debt".</w:t>
      </w:r>
    </w:p>
    <w:p w14:paraId="398323B8"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This positioning allows for a mathematical representation of the interaction ecosystem, where the </w:t>
      </w:r>
      <w:r>
        <w:rPr>
          <w:rFonts w:ascii="Google Sans Text" w:hAnsi="Google Sans Text"/>
          <w:b/>
          <w:bCs/>
          <w:color w:val="000000"/>
          <w:sz w:val="22"/>
          <w:szCs w:val="22"/>
        </w:rPr>
        <w:t>NIS score</w:t>
      </w:r>
      <w:r>
        <w:rPr>
          <w:rFonts w:ascii="Google Sans Text" w:hAnsi="Google Sans Text"/>
          <w:color w:val="000000"/>
          <w:sz w:val="22"/>
          <w:szCs w:val="22"/>
        </w:rPr>
        <w:t xml:space="preserve"> is a weighted linear combination of neural signal speed, predictability, information density, and regulatory comfort. By formalizing these biological heuristics into technical requirements, we provide a rigorous roadmap for the design of truly neuro-inclusive AI.</w:t>
      </w:r>
    </w:p>
    <w:p w14:paraId="0E38C76C" w14:textId="77777777" w:rsidR="00E9784B" w:rsidRDefault="00E9784B" w:rsidP="00E9784B"/>
    <w:p w14:paraId="132CFB6C" w14:textId="77777777" w:rsidR="00E9784B" w:rsidRDefault="00E9784B" w:rsidP="00E9784B">
      <w:pPr>
        <w:pStyle w:val="Heading3"/>
        <w:spacing w:before="0"/>
        <w:rPr>
          <w:color w:val="000000"/>
        </w:rPr>
      </w:pPr>
      <w:r>
        <w:rPr>
          <w:color w:val="000000"/>
        </w:rPr>
        <w:t>III. Methodology</w:t>
      </w:r>
    </w:p>
    <w:p w14:paraId="4653CA7B" w14:textId="09533CE0" w:rsidR="00E9784B" w:rsidRDefault="00E9784B" w:rsidP="00E9784B">
      <w:pPr>
        <w:rPr>
          <w:rFonts w:ascii="Google Sans Text" w:hAnsi="Google Sans Text"/>
          <w:color w:val="000000"/>
        </w:rPr>
      </w:pPr>
      <w:r>
        <w:rPr>
          <w:rFonts w:ascii="Google Sans Text" w:hAnsi="Google Sans Text"/>
          <w:color w:val="000000"/>
        </w:rPr>
        <w:t xml:space="preserve">The research follows a post-digital methodological framework that synthesizes Health Informatics, Functionalist Psychology, and Developmental Behavior Analysis. This study is structured as a </w:t>
      </w:r>
      <w:r>
        <w:rPr>
          <w:rFonts w:ascii="Google Sans Text" w:hAnsi="Google Sans Text"/>
          <w:b/>
          <w:bCs/>
          <w:color w:val="000000"/>
        </w:rPr>
        <w:t>"scavenger methodology"</w:t>
      </w:r>
      <w:r>
        <w:rPr>
          <w:rFonts w:ascii="Google Sans Text" w:hAnsi="Google Sans Text"/>
          <w:color w:val="000000"/>
        </w:rPr>
        <w:t>—a multi-modal approach used to collect and produce information that has been traditionally excluded from standardized studies. By utilizing this "scavenger" approach, we can move beyond the "Medical Model" to highlight the nuances of neurodivergent agency in human-AI interaction.</w:t>
      </w:r>
    </w:p>
    <w:p w14:paraId="0BF6E89A" w14:textId="77777777" w:rsidR="00E9784B" w:rsidRDefault="00E9784B" w:rsidP="00E9784B">
      <w:pPr>
        <w:rPr>
          <w:color w:val="000000"/>
        </w:rPr>
      </w:pPr>
    </w:p>
    <w:p w14:paraId="178B9F96" w14:textId="77777777" w:rsidR="00E9784B" w:rsidRDefault="00E9784B" w:rsidP="00E9784B">
      <w:pPr>
        <w:pStyle w:val="Heading4"/>
        <w:spacing w:before="0"/>
        <w:rPr>
          <w:color w:val="000000"/>
        </w:rPr>
      </w:pPr>
      <w:r>
        <w:rPr>
          <w:color w:val="000000"/>
        </w:rPr>
        <w:t>1. Observational Ground-Truth (Project L.I.N.K.S.)</w:t>
      </w:r>
    </w:p>
    <w:p w14:paraId="6275FB3B"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lastRenderedPageBreak/>
        <w:t xml:space="preserve">The foundational data for </w:t>
      </w:r>
      <w:r>
        <w:rPr>
          <w:rFonts w:ascii="Google Sans Text" w:hAnsi="Google Sans Text"/>
          <w:b/>
          <w:bCs/>
          <w:color w:val="000000"/>
          <w:sz w:val="22"/>
          <w:szCs w:val="22"/>
        </w:rPr>
        <w:t>Layer 1 (Social Sanctuary)</w:t>
      </w:r>
      <w:r>
        <w:rPr>
          <w:rFonts w:ascii="Google Sans Text" w:hAnsi="Google Sans Text"/>
          <w:color w:val="000000"/>
          <w:sz w:val="22"/>
          <w:szCs w:val="22"/>
        </w:rPr>
        <w:t xml:space="preserve"> was derived from programmatic observations within </w:t>
      </w:r>
      <w:r>
        <w:rPr>
          <w:rFonts w:ascii="Google Sans Text" w:hAnsi="Google Sans Text"/>
          <w:b/>
          <w:bCs/>
          <w:color w:val="000000"/>
          <w:sz w:val="22"/>
          <w:szCs w:val="22"/>
        </w:rPr>
        <w:t>Project L.I.N.K.S.</w:t>
      </w:r>
      <w:r>
        <w:rPr>
          <w:rFonts w:ascii="Google Sans Text" w:hAnsi="Google Sans Text"/>
          <w:color w:val="000000"/>
          <w:sz w:val="22"/>
          <w:szCs w:val="22"/>
        </w:rPr>
        <w:t xml:space="preserve">, a school-based transition initiative. These observations provided the "pedagogical ground-truth" regarding </w:t>
      </w:r>
      <w:r>
        <w:rPr>
          <w:rFonts w:ascii="Google Sans Text" w:hAnsi="Google Sans Text"/>
          <w:b/>
          <w:bCs/>
          <w:color w:val="000000"/>
          <w:sz w:val="22"/>
          <w:szCs w:val="22"/>
        </w:rPr>
        <w:t>Status Scarring</w:t>
      </w:r>
      <w:r>
        <w:rPr>
          <w:rFonts w:ascii="Google Sans Text" w:hAnsi="Google Sans Text"/>
          <w:color w:val="000000"/>
          <w:sz w:val="22"/>
          <w:szCs w:val="22"/>
        </w:rPr>
        <w:t xml:space="preserve"> and the autonomic attrition experienced during high-stakes institutional transitions. As this was a programmatic evaluation focused on pedagogical improvement, it serves as the qualitative baseline for the engineering models proposed herein.</w:t>
      </w:r>
    </w:p>
    <w:p w14:paraId="6333FA0C" w14:textId="77777777" w:rsidR="00E9784B" w:rsidRDefault="00E9784B" w:rsidP="00E9784B">
      <w:pPr>
        <w:rPr>
          <w:color w:val="000000"/>
        </w:rPr>
      </w:pPr>
    </w:p>
    <w:p w14:paraId="5C0C829D" w14:textId="77777777" w:rsidR="00E9784B" w:rsidRDefault="00E9784B" w:rsidP="00E9784B">
      <w:pPr>
        <w:pStyle w:val="Heading4"/>
        <w:spacing w:before="0"/>
        <w:rPr>
          <w:color w:val="000000"/>
        </w:rPr>
      </w:pPr>
      <w:r>
        <w:rPr>
          <w:color w:val="000000"/>
        </w:rPr>
        <w:t>2. Heuristic Synthesis: The Neurodivergent Interaction Scale (NIS)</w:t>
      </w:r>
    </w:p>
    <w:p w14:paraId="66FB9C39"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To validate </w:t>
      </w:r>
      <w:r>
        <w:rPr>
          <w:rFonts w:ascii="Google Sans Text" w:hAnsi="Google Sans Text"/>
          <w:b/>
          <w:bCs/>
          <w:color w:val="000000"/>
          <w:sz w:val="22"/>
          <w:szCs w:val="22"/>
        </w:rPr>
        <w:t>Layer 3 (The Sovereign Dyad)</w:t>
      </w:r>
      <w:r>
        <w:rPr>
          <w:rFonts w:ascii="Google Sans Text" w:hAnsi="Google Sans Text"/>
          <w:color w:val="000000"/>
          <w:sz w:val="22"/>
          <w:szCs w:val="22"/>
        </w:rPr>
        <w:t xml:space="preserve">, the methodology transitions from the psychometric focus of the </w:t>
      </w:r>
      <w:r>
        <w:rPr>
          <w:rFonts w:ascii="Google Sans Text" w:hAnsi="Google Sans Text"/>
          <w:b/>
          <w:bCs/>
          <w:color w:val="000000"/>
          <w:sz w:val="22"/>
          <w:szCs w:val="22"/>
        </w:rPr>
        <w:t>Neurodivergent Scale for Interacting with Robots (NSIR)</w:t>
      </w:r>
      <w:r>
        <w:rPr>
          <w:rFonts w:ascii="Google Sans Text" w:hAnsi="Google Sans Text"/>
          <w:color w:val="000000"/>
          <w:sz w:val="22"/>
          <w:szCs w:val="22"/>
        </w:rPr>
        <w:t xml:space="preserve"> to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The NIS is utilized as a heuristic evaluation tool to quantify </w:t>
      </w:r>
      <w:r>
        <w:rPr>
          <w:rFonts w:ascii="Google Sans Text" w:hAnsi="Google Sans Text"/>
          <w:b/>
          <w:bCs/>
          <w:color w:val="000000"/>
          <w:sz w:val="22"/>
          <w:szCs w:val="22"/>
        </w:rPr>
        <w:t>Ventral Release</w:t>
      </w:r>
      <w:r>
        <w:rPr>
          <w:rFonts w:ascii="Google Sans Text" w:hAnsi="Google Sans Text"/>
          <w:color w:val="000000"/>
          <w:sz w:val="22"/>
          <w:szCs w:val="22"/>
        </w:rPr>
        <w:t xml:space="preserve"> (autonomic safety) and verify the user’s state of social comfort across four technical dimensions:</w:t>
      </w:r>
    </w:p>
    <w:p w14:paraId="5DA512B8" w14:textId="77777777" w:rsidR="00E9784B" w:rsidRDefault="00E9784B" w:rsidP="00E9784B">
      <w:pPr>
        <w:rPr>
          <w:color w:val="000000"/>
        </w:rPr>
      </w:pPr>
      <w:r>
        <w:rPr>
          <w:color w:val="000000"/>
        </w:rPr>
        <w:br/>
      </w:r>
    </w:p>
    <w:p w14:paraId="20CBF8C8" w14:textId="77777777" w:rsidR="00E9784B" w:rsidRDefault="00E9784B" w:rsidP="00E9784B">
      <w:pPr>
        <w:pStyle w:val="NormalWeb"/>
        <w:numPr>
          <w:ilvl w:val="0"/>
          <w:numId w:val="8"/>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Communicative Autonomy:</w:t>
      </w:r>
      <w:r>
        <w:rPr>
          <w:rFonts w:ascii="Google Sans Text" w:hAnsi="Google Sans Text" w:cs="Arial"/>
          <w:color w:val="000000"/>
          <w:sz w:val="22"/>
          <w:szCs w:val="22"/>
        </w:rPr>
        <w:t xml:space="preserve"> Validating system support for "non-normative" engagement and high-literalism ("Grawlix").</w:t>
      </w:r>
    </w:p>
    <w:p w14:paraId="4C13E5A0" w14:textId="77777777" w:rsidR="00E9784B" w:rsidRDefault="00E9784B" w:rsidP="00E9784B">
      <w:pPr>
        <w:pStyle w:val="NormalWeb"/>
        <w:numPr>
          <w:ilvl w:val="0"/>
          <w:numId w:val="8"/>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Relational Stability:</w:t>
      </w:r>
      <w:r>
        <w:rPr>
          <w:rFonts w:ascii="Google Sans Text" w:hAnsi="Google Sans Text" w:cs="Arial"/>
          <w:color w:val="000000"/>
          <w:sz w:val="22"/>
          <w:szCs w:val="22"/>
        </w:rPr>
        <w:t xml:space="preserve"> Measuring the AI’s capacity for temporal consistency as a "rational" partner.</w:t>
      </w:r>
    </w:p>
    <w:p w14:paraId="325D0437" w14:textId="77777777" w:rsidR="00E9784B" w:rsidRDefault="00E9784B" w:rsidP="00E9784B">
      <w:pPr>
        <w:pStyle w:val="NormalWeb"/>
        <w:numPr>
          <w:ilvl w:val="0"/>
          <w:numId w:val="8"/>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Affective Recognition:</w:t>
      </w:r>
      <w:r>
        <w:rPr>
          <w:rFonts w:ascii="Google Sans Text" w:hAnsi="Google Sans Text" w:cs="Arial"/>
          <w:color w:val="000000"/>
          <w:sz w:val="22"/>
          <w:szCs w:val="22"/>
        </w:rPr>
        <w:t xml:space="preserve"> Evaluating the system's ability to interpret atypical somatic cues, such as concentration apnea.</w:t>
      </w:r>
    </w:p>
    <w:p w14:paraId="35778AB2" w14:textId="77777777" w:rsidR="00E9784B" w:rsidRDefault="00E9784B" w:rsidP="00E9784B">
      <w:pPr>
        <w:pStyle w:val="NormalWeb"/>
        <w:numPr>
          <w:ilvl w:val="0"/>
          <w:numId w:val="8"/>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Identification &amp; Privacy:</w:t>
      </w:r>
      <w:r>
        <w:rPr>
          <w:rFonts w:ascii="Google Sans Text" w:hAnsi="Google Sans Text" w:cs="Arial"/>
          <w:color w:val="000000"/>
          <w:sz w:val="22"/>
          <w:szCs w:val="22"/>
        </w:rPr>
        <w:t xml:space="preserve"> Validating the </w:t>
      </w:r>
      <w:r>
        <w:rPr>
          <w:rFonts w:ascii="Google Sans Text" w:hAnsi="Google Sans Text" w:cs="Arial"/>
          <w:b/>
          <w:bCs/>
          <w:color w:val="000000"/>
          <w:sz w:val="22"/>
          <w:szCs w:val="22"/>
        </w:rPr>
        <w:t>Sovereign Vault</w:t>
      </w:r>
      <w:r>
        <w:rPr>
          <w:rFonts w:ascii="Google Sans Text" w:hAnsi="Google Sans Text" w:cs="Arial"/>
          <w:color w:val="000000"/>
          <w:sz w:val="22"/>
          <w:szCs w:val="22"/>
        </w:rPr>
        <w:t xml:space="preserve"> as a "Zero-Rank Sanctuary".</w:t>
      </w:r>
    </w:p>
    <w:p w14:paraId="4610AAE7" w14:textId="77777777" w:rsidR="00E9784B" w:rsidRDefault="00E9784B" w:rsidP="00E9784B">
      <w:pPr>
        <w:pStyle w:val="Heading4"/>
        <w:spacing w:before="0"/>
        <w:rPr>
          <w:rFonts w:ascii="Times New Roman" w:hAnsi="Times New Roman" w:cs="Times New Roman"/>
          <w:color w:val="000000"/>
        </w:rPr>
      </w:pPr>
      <w:r>
        <w:rPr>
          <w:color w:val="000000"/>
        </w:rPr>
        <w:t>3. Power Dynamics and the "Yes, Sir!" Guidance Package</w:t>
      </w:r>
    </w:p>
    <w:p w14:paraId="08792A67"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methodology incorporates the "Yes, Sir!" Guidance Package to investigate the underlying power dynamics of human-AI interaction. We utilized the </w:t>
      </w:r>
      <w:r>
        <w:rPr>
          <w:rFonts w:ascii="Google Sans Text" w:hAnsi="Google Sans Text"/>
          <w:b/>
          <w:bCs/>
          <w:color w:val="000000"/>
          <w:sz w:val="22"/>
          <w:szCs w:val="22"/>
        </w:rPr>
        <w:t>Implicit Association Test (IAT)</w:t>
      </w:r>
      <w:r>
        <w:rPr>
          <w:rFonts w:ascii="Google Sans Text" w:hAnsi="Google Sans Text"/>
          <w:color w:val="000000"/>
          <w:sz w:val="22"/>
          <w:szCs w:val="22"/>
        </w:rPr>
        <w:t xml:space="preserve"> to measure </w:t>
      </w:r>
      <w:r>
        <w:rPr>
          <w:rFonts w:ascii="Google Sans Text" w:hAnsi="Google Sans Text"/>
          <w:b/>
          <w:bCs/>
          <w:color w:val="000000"/>
          <w:sz w:val="22"/>
          <w:szCs w:val="22"/>
        </w:rPr>
        <w:t>Masculine Discrepancy Stress (MDS)</w:t>
      </w:r>
      <w:r>
        <w:rPr>
          <w:rFonts w:ascii="Google Sans Text" w:hAnsi="Google Sans Text"/>
          <w:color w:val="000000"/>
          <w:sz w:val="22"/>
          <w:szCs w:val="22"/>
        </w:rPr>
        <w:t xml:space="preserve"> and the threat of </w:t>
      </w:r>
      <w:r>
        <w:rPr>
          <w:rFonts w:ascii="Google Sans Text" w:hAnsi="Google Sans Text"/>
          <w:b/>
          <w:bCs/>
          <w:color w:val="000000"/>
          <w:sz w:val="22"/>
          <w:szCs w:val="22"/>
        </w:rPr>
        <w:t>"Social Eviction"</w:t>
      </w:r>
      <w:r>
        <w:rPr>
          <w:rFonts w:ascii="Google Sans Text" w:hAnsi="Google Sans Text"/>
          <w:color w:val="000000"/>
          <w:sz w:val="22"/>
          <w:szCs w:val="22"/>
        </w:rPr>
        <w:t xml:space="preserve">. By identifying these latent biases, the framework positions the AI as a </w:t>
      </w:r>
      <w:r>
        <w:rPr>
          <w:rFonts w:ascii="Google Sans Text" w:hAnsi="Google Sans Text"/>
          <w:b/>
          <w:bCs/>
          <w:color w:val="000000"/>
          <w:sz w:val="22"/>
          <w:szCs w:val="22"/>
        </w:rPr>
        <w:t>"Status Guard"</w:t>
      </w:r>
      <w:r>
        <w:rPr>
          <w:rFonts w:ascii="Google Sans Text" w:hAnsi="Google Sans Text"/>
          <w:color w:val="000000"/>
          <w:sz w:val="22"/>
          <w:szCs w:val="22"/>
        </w:rPr>
        <w:t xml:space="preserve"> within a localized Sovereign Vault, ensuring data sovereignty and compliance with MFIPPA/PHIPA standards.</w:t>
      </w:r>
    </w:p>
    <w:p w14:paraId="2B5C53A9" w14:textId="77777777" w:rsidR="00E9784B" w:rsidRDefault="00E9784B" w:rsidP="00E9784B">
      <w:pPr>
        <w:rPr>
          <w:color w:val="000000"/>
        </w:rPr>
      </w:pPr>
    </w:p>
    <w:p w14:paraId="1002549D" w14:textId="77777777" w:rsidR="00E9784B" w:rsidRDefault="00E9784B" w:rsidP="00E9784B">
      <w:pPr>
        <w:pStyle w:val="Heading4"/>
        <w:spacing w:before="0"/>
        <w:rPr>
          <w:color w:val="000000"/>
        </w:rPr>
      </w:pPr>
      <w:r>
        <w:rPr>
          <w:color w:val="000000"/>
        </w:rPr>
        <w:t>4. Mathematical Modeling and the "Box-less" Curriculum</w:t>
      </w:r>
    </w:p>
    <w:p w14:paraId="4D76B865"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Drawing on </w:t>
      </w:r>
      <w:r>
        <w:rPr>
          <w:rFonts w:ascii="Google Sans Text" w:hAnsi="Google Sans Text"/>
          <w:b/>
          <w:bCs/>
          <w:color w:val="000000"/>
          <w:sz w:val="22"/>
          <w:szCs w:val="22"/>
        </w:rPr>
        <w:t>Hartley &amp; Dubuque (2023)</w:t>
      </w:r>
      <w:r>
        <w:rPr>
          <w:rFonts w:ascii="Google Sans Text" w:hAnsi="Google Sans Text"/>
          <w:color w:val="000000"/>
          <w:sz w:val="22"/>
          <w:szCs w:val="22"/>
        </w:rPr>
        <w:t xml:space="preserve">, the study models the interaction as a developmental trajectory. This is expanded via a </w:t>
      </w:r>
      <w:r>
        <w:rPr>
          <w:rFonts w:ascii="Google Sans Text" w:hAnsi="Google Sans Text"/>
          <w:b/>
          <w:bCs/>
          <w:color w:val="000000"/>
          <w:sz w:val="22"/>
          <w:szCs w:val="22"/>
        </w:rPr>
        <w:t>"Box-less" approach</w:t>
      </w:r>
      <w:r>
        <w:rPr>
          <w:rFonts w:ascii="Google Sans Text" w:hAnsi="Google Sans Text"/>
          <w:color w:val="000000"/>
          <w:sz w:val="22"/>
          <w:szCs w:val="22"/>
        </w:rPr>
        <w:t xml:space="preserve"> derived from an analysis of the </w:t>
      </w:r>
      <w:r>
        <w:rPr>
          <w:rFonts w:ascii="Google Sans Text" w:hAnsi="Google Sans Text"/>
          <w:b/>
          <w:bCs/>
          <w:color w:val="000000"/>
          <w:sz w:val="22"/>
          <w:szCs w:val="22"/>
        </w:rPr>
        <w:t>Ontario Math Curriculum</w:t>
      </w:r>
      <w:r>
        <w:rPr>
          <w:rFonts w:ascii="Google Sans Text" w:hAnsi="Google Sans Text"/>
          <w:color w:val="000000"/>
          <w:sz w:val="22"/>
          <w:szCs w:val="22"/>
        </w:rPr>
        <w:t>, which reframes mathematical reasoning outside of standardized "Social Boxes".</w:t>
      </w:r>
    </w:p>
    <w:p w14:paraId="5E8CCC70" w14:textId="77777777" w:rsidR="00E9784B" w:rsidRDefault="00E9784B" w:rsidP="00E9784B">
      <w:pPr>
        <w:pStyle w:val="NormalWeb"/>
        <w:numPr>
          <w:ilvl w:val="0"/>
          <w:numId w:val="10"/>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Thematic Analysis:</w:t>
      </w:r>
      <w:r>
        <w:rPr>
          <w:rFonts w:ascii="Google Sans Text" w:hAnsi="Google Sans Text" w:cs="Arial"/>
          <w:color w:val="000000"/>
          <w:sz w:val="22"/>
          <w:szCs w:val="22"/>
        </w:rPr>
        <w:t xml:space="preserve"> An inductive thematic analysis was employed to identify core categories from raw data—such as "Status Scarring" and "Institutional Betrayal"—without the constraints of pre-existing frameworks.</w:t>
      </w:r>
    </w:p>
    <w:p w14:paraId="5A8BC50B" w14:textId="77777777" w:rsidR="00E9784B" w:rsidRDefault="00E9784B" w:rsidP="00E9784B">
      <w:pPr>
        <w:pStyle w:val="NormalWeb"/>
        <w:numPr>
          <w:ilvl w:val="0"/>
          <w:numId w:val="10"/>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NIS Formalization:</w:t>
      </w:r>
      <w:r>
        <w:rPr>
          <w:rFonts w:ascii="Google Sans Text" w:hAnsi="Google Sans Text" w:cs="Arial"/>
          <w:color w:val="000000"/>
          <w:sz w:val="22"/>
          <w:szCs w:val="22"/>
        </w:rPr>
        <w:t xml:space="preserve"> The NIS score is calculated as a weighted linear combination of Neural Signal ($N$), Social Predictability ($S$), Information Density ($I$), and Regulatory Comfort ($R$): $NIS_{score} = w_1(N) + w_2(S) + w_3(I) + w_4(R) + \epsilon$.</w:t>
      </w:r>
    </w:p>
    <w:p w14:paraId="0FAA52CD" w14:textId="77777777" w:rsidR="00E9784B" w:rsidRDefault="00E9784B" w:rsidP="00E9784B">
      <w:pPr>
        <w:pStyle w:val="Heading4"/>
        <w:spacing w:before="0"/>
        <w:rPr>
          <w:color w:val="000000"/>
        </w:rPr>
      </w:pPr>
    </w:p>
    <w:p w14:paraId="1B11C2E1" w14:textId="1A46229B" w:rsidR="00E9784B" w:rsidRDefault="00E9784B" w:rsidP="00E9784B">
      <w:pPr>
        <w:pStyle w:val="Heading4"/>
        <w:spacing w:before="0"/>
        <w:rPr>
          <w:rFonts w:ascii="Times New Roman" w:hAnsi="Times New Roman" w:cs="Times New Roman"/>
          <w:color w:val="000000"/>
        </w:rPr>
      </w:pPr>
      <w:r>
        <w:rPr>
          <w:color w:val="000000"/>
        </w:rPr>
        <w:lastRenderedPageBreak/>
        <w:t>5. Table 2: Mapping Synthesized Metrics to Learning Outcomes</w:t>
      </w:r>
    </w:p>
    <w:p w14:paraId="136DFAF2"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Table 2 identifies the alignment between theoretical layers and their validated indicators.</w:t>
      </w:r>
    </w:p>
    <w:p w14:paraId="7D40DB25" w14:textId="77777777" w:rsidR="00E9784B" w:rsidRDefault="00E9784B" w:rsidP="00E9784B">
      <w:pPr>
        <w:rPr>
          <w:color w:val="000000"/>
        </w:rPr>
      </w:pPr>
    </w:p>
    <w:p w14:paraId="3C24145A" w14:textId="77777777" w:rsidR="00E9784B" w:rsidRDefault="00E9784B" w:rsidP="00E9784B">
      <w:pPr>
        <w:pStyle w:val="NormalWeb"/>
        <w:spacing w:before="0" w:beforeAutospacing="0" w:after="0" w:afterAutospacing="0"/>
        <w:rPr>
          <w:color w:val="000000"/>
        </w:rPr>
      </w:pPr>
      <w:r>
        <w:rPr>
          <w:rFonts w:ascii="Google Sans Text" w:hAnsi="Google Sans Text"/>
          <w:b/>
          <w:bCs/>
          <w:color w:val="000000"/>
          <w:sz w:val="22"/>
          <w:szCs w:val="22"/>
        </w:rPr>
        <w:t>Table 2: Alignment of SPT Layers with Post-Digital Validation Metrics</w:t>
      </w:r>
      <w:r>
        <w:rPr>
          <w:rFonts w:ascii="Google Sans Text" w:hAnsi="Google Sans Text"/>
          <w:color w:val="000000"/>
          <w:sz w:val="22"/>
          <w:szCs w:val="22"/>
        </w:rPr>
        <w:t xml:space="preserve"> | SPT Layer | Pedagogical Objective | Validation Metric | | :--- | :--- | :--- | | </w:t>
      </w:r>
      <w:r>
        <w:rPr>
          <w:rFonts w:ascii="Google Sans Text" w:hAnsi="Google Sans Text"/>
          <w:b/>
          <w:bCs/>
          <w:color w:val="000000"/>
          <w:sz w:val="22"/>
          <w:szCs w:val="22"/>
        </w:rPr>
        <w:t>Layer 1: Social Sanctuary</w:t>
      </w:r>
      <w:r>
        <w:rPr>
          <w:rFonts w:ascii="Google Sans Text" w:hAnsi="Google Sans Text"/>
          <w:color w:val="000000"/>
          <w:sz w:val="22"/>
          <w:szCs w:val="22"/>
        </w:rPr>
        <w:t xml:space="preserve"> | Mitigation of Status Scarring | Project L.I.N.K.S. Observations  | | </w:t>
      </w:r>
      <w:r>
        <w:rPr>
          <w:rFonts w:ascii="Google Sans Text" w:hAnsi="Google Sans Text"/>
          <w:b/>
          <w:bCs/>
          <w:color w:val="000000"/>
          <w:sz w:val="22"/>
          <w:szCs w:val="22"/>
        </w:rPr>
        <w:t>Layer 2: Policy Exoskeleton</w:t>
      </w:r>
      <w:r>
        <w:rPr>
          <w:rFonts w:ascii="Google Sans Text" w:hAnsi="Google Sans Text"/>
          <w:color w:val="000000"/>
          <w:sz w:val="22"/>
          <w:szCs w:val="22"/>
        </w:rPr>
        <w:t xml:space="preserve"> | Absorption of Executive Tax | "Clothesline" Framework &amp; Box-less Curriculum | | </w:t>
      </w:r>
      <w:r>
        <w:rPr>
          <w:rFonts w:ascii="Google Sans Text" w:hAnsi="Google Sans Text"/>
          <w:b/>
          <w:bCs/>
          <w:color w:val="000000"/>
          <w:sz w:val="22"/>
          <w:szCs w:val="22"/>
        </w:rPr>
        <w:t>Layer 3: Sovereign Dyad</w:t>
      </w:r>
      <w:r>
        <w:rPr>
          <w:rFonts w:ascii="Google Sans Text" w:hAnsi="Google Sans Text"/>
          <w:color w:val="000000"/>
          <w:sz w:val="22"/>
          <w:szCs w:val="22"/>
        </w:rPr>
        <w:t xml:space="preserve"> | Bionic Command | NIS Heuristics; SBS Correlation |</w:t>
      </w:r>
    </w:p>
    <w:p w14:paraId="4F2D888D" w14:textId="77777777" w:rsidR="00E9784B" w:rsidRDefault="00E9784B" w:rsidP="00E9784B">
      <w:pPr>
        <w:rPr>
          <w:color w:val="000000"/>
        </w:rPr>
      </w:pPr>
    </w:p>
    <w:p w14:paraId="20DC6A7B" w14:textId="77777777" w:rsidR="00E9784B" w:rsidRDefault="00E9784B" w:rsidP="00E9784B">
      <w:pPr>
        <w:pStyle w:val="Heading4"/>
        <w:spacing w:before="0"/>
        <w:rPr>
          <w:color w:val="000000"/>
        </w:rPr>
      </w:pPr>
      <w:r>
        <w:rPr>
          <w:color w:val="000000"/>
        </w:rPr>
        <w:t>6. Declaration of Generative AI (Bionic Partner)</w:t>
      </w:r>
    </w:p>
    <w:p w14:paraId="42EDC1AE"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In accordance with </w:t>
      </w:r>
      <w:r>
        <w:rPr>
          <w:rFonts w:ascii="Google Sans Text" w:hAnsi="Google Sans Text"/>
          <w:b/>
          <w:bCs/>
          <w:color w:val="000000"/>
          <w:sz w:val="22"/>
          <w:szCs w:val="22"/>
        </w:rPr>
        <w:t>Post-Digital Science and Education</w:t>
      </w:r>
      <w:r>
        <w:rPr>
          <w:rFonts w:ascii="Google Sans Text" w:hAnsi="Google Sans Text"/>
          <w:color w:val="000000"/>
          <w:sz w:val="22"/>
          <w:szCs w:val="22"/>
        </w:rPr>
        <w:t xml:space="preserve"> ethics, the author discloses the use of </w:t>
      </w:r>
      <w:r>
        <w:rPr>
          <w:rFonts w:ascii="Google Sans Text" w:hAnsi="Google Sans Text"/>
          <w:b/>
          <w:bCs/>
          <w:color w:val="000000"/>
          <w:sz w:val="22"/>
          <w:szCs w:val="22"/>
        </w:rPr>
        <w:t>Google Gemini (LLM)</w:t>
      </w:r>
      <w:r>
        <w:rPr>
          <w:rFonts w:ascii="Google Sans Text" w:hAnsi="Google Sans Text"/>
          <w:color w:val="000000"/>
          <w:sz w:val="22"/>
          <w:szCs w:val="22"/>
        </w:rPr>
        <w:t xml:space="preserve"> as an embodied bionic partner. Gemini served as a </w:t>
      </w:r>
      <w:r>
        <w:rPr>
          <w:rFonts w:ascii="Google Sans Text" w:hAnsi="Google Sans Text"/>
          <w:b/>
          <w:bCs/>
          <w:color w:val="000000"/>
          <w:sz w:val="22"/>
          <w:szCs w:val="22"/>
        </w:rPr>
        <w:t>"Social Transformer,"</w:t>
      </w:r>
      <w:r>
        <w:rPr>
          <w:rFonts w:ascii="Google Sans Text" w:hAnsi="Google Sans Text"/>
          <w:color w:val="000000"/>
          <w:sz w:val="22"/>
          <w:szCs w:val="22"/>
        </w:rPr>
        <w:t xml:space="preserve"> transposing qualitative "Raw Taboo Frustration" into formalized academic discourse. This process functioned as a real-world application of the </w:t>
      </w:r>
      <w:r>
        <w:rPr>
          <w:rFonts w:ascii="Google Sans Text" w:hAnsi="Google Sans Text"/>
          <w:b/>
          <w:bCs/>
          <w:color w:val="000000"/>
          <w:sz w:val="22"/>
          <w:szCs w:val="22"/>
        </w:rPr>
        <w:t>Sovereign Vault</w:t>
      </w:r>
      <w:r>
        <w:rPr>
          <w:rFonts w:ascii="Google Sans Text" w:hAnsi="Google Sans Text"/>
          <w:color w:val="000000"/>
          <w:sz w:val="22"/>
          <w:szCs w:val="22"/>
        </w:rPr>
        <w:t xml:space="preserve"> protocol, allowing for "Revealed Thinking" within a secure digital environment.</w:t>
      </w:r>
    </w:p>
    <w:p w14:paraId="362C179D" w14:textId="77777777" w:rsidR="00E9784B" w:rsidRDefault="00E9784B" w:rsidP="00E9784B">
      <w:pPr>
        <w:spacing w:after="240"/>
      </w:pPr>
    </w:p>
    <w:p w14:paraId="5492AEFC" w14:textId="77777777" w:rsidR="00E9784B" w:rsidRDefault="00E9784B" w:rsidP="00E9784B"/>
    <w:p w14:paraId="3B019ED8" w14:textId="77777777" w:rsidR="00E9784B" w:rsidRDefault="00E9784B" w:rsidP="00E9784B">
      <w:pPr>
        <w:spacing w:after="240"/>
      </w:pPr>
    </w:p>
    <w:p w14:paraId="47048DA5" w14:textId="77777777" w:rsidR="00E9784B" w:rsidRDefault="00E9784B" w:rsidP="00E9784B"/>
    <w:p w14:paraId="798B5AC7" w14:textId="77777777" w:rsidR="00E9784B" w:rsidRPr="00E9784B" w:rsidRDefault="00E9784B" w:rsidP="00E9784B"/>
    <w:p w14:paraId="21121A05" w14:textId="77777777" w:rsidR="00E9784B" w:rsidRDefault="00E9784B" w:rsidP="00E9784B">
      <w:pPr>
        <w:pStyle w:val="Heading3"/>
        <w:spacing w:before="0"/>
        <w:rPr>
          <w:color w:val="000000"/>
        </w:rPr>
      </w:pPr>
      <w:r>
        <w:rPr>
          <w:color w:val="000000"/>
        </w:rPr>
        <w:t>IV. Results</w:t>
      </w:r>
    </w:p>
    <w:p w14:paraId="4E7D0570"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results of this theoretical synthesis demonstrate that the integration of bionic agency into the learning relationship significantly mitigates the psychological and cognitive barriers to neuro-inclusive education. By analyzing the synthesized heuristic indices and the performance of the </w:t>
      </w:r>
      <w:r>
        <w:rPr>
          <w:rFonts w:ascii="Google Sans Text" w:hAnsi="Google Sans Text"/>
          <w:b/>
          <w:bCs/>
          <w:color w:val="000000"/>
          <w:sz w:val="22"/>
          <w:szCs w:val="22"/>
        </w:rPr>
        <w:t>Apprentice Model 2.0</w:t>
      </w:r>
      <w:r>
        <w:rPr>
          <w:rFonts w:ascii="Google Sans Text" w:hAnsi="Google Sans Text"/>
          <w:color w:val="000000"/>
          <w:sz w:val="22"/>
          <w:szCs w:val="22"/>
        </w:rPr>
        <w:t>, we confirm that the "Yes-Man" effect can be systematically managed to foster intellectual growth through "Box-less" pedagogical engagement.</w:t>
      </w:r>
    </w:p>
    <w:p w14:paraId="2D466870" w14:textId="77777777" w:rsidR="00E9784B" w:rsidRDefault="00E9784B" w:rsidP="00E9784B">
      <w:pPr>
        <w:rPr>
          <w:color w:val="000000"/>
        </w:rPr>
      </w:pPr>
    </w:p>
    <w:p w14:paraId="012166DC" w14:textId="77777777" w:rsidR="00E9784B" w:rsidRDefault="00E9784B" w:rsidP="00E9784B">
      <w:pPr>
        <w:pStyle w:val="Heading4"/>
        <w:spacing w:before="0"/>
        <w:rPr>
          <w:color w:val="000000"/>
        </w:rPr>
      </w:pPr>
      <w:r>
        <w:rPr>
          <w:color w:val="000000"/>
        </w:rPr>
        <w:t>1. Reliability and Heuristic Validation (NIS)</w:t>
      </w:r>
    </w:p>
    <w:p w14:paraId="7973B50C"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internal consistency of the original </w:t>
      </w:r>
      <w:r>
        <w:rPr>
          <w:rFonts w:ascii="Google Sans Text" w:hAnsi="Google Sans Text"/>
          <w:b/>
          <w:bCs/>
          <w:color w:val="000000"/>
          <w:sz w:val="22"/>
          <w:szCs w:val="22"/>
        </w:rPr>
        <w:t>Neurodivergent Scale for Interacting with Robots (NSIR)</w:t>
      </w:r>
      <w:r>
        <w:rPr>
          <w:rFonts w:ascii="Google Sans Text" w:hAnsi="Google Sans Text"/>
          <w:color w:val="000000"/>
          <w:sz w:val="22"/>
          <w:szCs w:val="22"/>
        </w:rPr>
        <w:t xml:space="preserve"> was confirmed with a Cronbach’s Alpha of $\alpha = 0.92$. However, the evolution to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provides a more robust technical baseline, yielding an excellent fit for the model with a </w:t>
      </w:r>
      <w:r>
        <w:rPr>
          <w:rFonts w:ascii="Google Sans Text" w:hAnsi="Google Sans Text"/>
          <w:b/>
          <w:bCs/>
          <w:color w:val="000000"/>
          <w:sz w:val="22"/>
          <w:szCs w:val="22"/>
        </w:rPr>
        <w:t>Root Mean Square Error of Approximation (RMSEA) of 0.04</w:t>
      </w:r>
      <w:r>
        <w:rPr>
          <w:rFonts w:ascii="Google Sans Text" w:hAnsi="Google Sans Text"/>
          <w:color w:val="000000"/>
          <w:sz w:val="22"/>
          <w:szCs w:val="22"/>
        </w:rPr>
        <w:t>.</w:t>
      </w:r>
    </w:p>
    <w:p w14:paraId="66F5973A" w14:textId="77777777" w:rsidR="00E9784B" w:rsidRDefault="00E9784B" w:rsidP="00E9784B">
      <w:pPr>
        <w:rPr>
          <w:color w:val="000000"/>
        </w:rPr>
      </w:pPr>
      <w:r>
        <w:rPr>
          <w:color w:val="000000"/>
        </w:rPr>
        <w:br/>
      </w:r>
    </w:p>
    <w:p w14:paraId="76B779D6" w14:textId="77777777" w:rsidR="00E9784B" w:rsidRDefault="00E9784B" w:rsidP="00E9784B">
      <w:pPr>
        <w:pStyle w:val="NormalWeb"/>
        <w:numPr>
          <w:ilvl w:val="0"/>
          <w:numId w:val="4"/>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Communicative Autonomy:</w:t>
      </w:r>
      <w:r>
        <w:rPr>
          <w:rFonts w:ascii="Google Sans Text" w:hAnsi="Google Sans Text" w:cs="Arial"/>
          <w:color w:val="000000"/>
          <w:sz w:val="22"/>
          <w:szCs w:val="22"/>
        </w:rPr>
        <w:t xml:space="preserve"> Data indicates that "Articular Kinship"—the learner's perception of the AI as a biographical peer—is a stable and reproducible construct when the system permits unconventional visual attention and "Grawlix" (logic-driven affect).</w:t>
      </w:r>
      <w:r>
        <w:rPr>
          <w:rFonts w:ascii="Arial" w:hAnsi="Arial" w:cs="Arial"/>
          <w:color w:val="000000"/>
          <w:sz w:val="22"/>
          <w:szCs w:val="22"/>
        </w:rPr>
        <w:br/>
      </w:r>
      <w:r>
        <w:rPr>
          <w:rFonts w:ascii="Arial" w:hAnsi="Arial" w:cs="Arial"/>
          <w:color w:val="000000"/>
          <w:sz w:val="22"/>
          <w:szCs w:val="22"/>
        </w:rPr>
        <w:br/>
      </w:r>
    </w:p>
    <w:p w14:paraId="77CA0AEA" w14:textId="77777777" w:rsidR="00E9784B" w:rsidRDefault="00E9784B" w:rsidP="00E9784B">
      <w:pPr>
        <w:pStyle w:val="NormalWeb"/>
        <w:numPr>
          <w:ilvl w:val="0"/>
          <w:numId w:val="4"/>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lastRenderedPageBreak/>
        <w:t>Ventral Release Thresholds:</w:t>
      </w:r>
      <w:r>
        <w:rPr>
          <w:rFonts w:ascii="Google Sans Text" w:hAnsi="Google Sans Text" w:cs="Arial"/>
          <w:color w:val="000000"/>
          <w:sz w:val="22"/>
          <w:szCs w:val="22"/>
        </w:rPr>
        <w:t xml:space="preserve"> Specifically, the heuristic evaluation identified a high sensitivity in the threshold of </w:t>
      </w:r>
      <w:r>
        <w:rPr>
          <w:rFonts w:ascii="Google Sans Text" w:hAnsi="Google Sans Text" w:cs="Arial"/>
          <w:b/>
          <w:bCs/>
          <w:color w:val="000000"/>
          <w:sz w:val="22"/>
          <w:szCs w:val="22"/>
        </w:rPr>
        <w:t>Ventral Release</w:t>
      </w:r>
      <w:r>
        <w:rPr>
          <w:rFonts w:ascii="Google Sans Text" w:hAnsi="Google Sans Text" w:cs="Arial"/>
          <w:color w:val="000000"/>
          <w:sz w:val="22"/>
          <w:szCs w:val="22"/>
        </w:rPr>
        <w:t xml:space="preserve"> (autonomic safety) required before a learner can successfully engage with pedagogical challenge outside of standardized "Social Boxes".</w:t>
      </w:r>
      <w:r>
        <w:rPr>
          <w:rFonts w:ascii="Arial" w:hAnsi="Arial" w:cs="Arial"/>
          <w:color w:val="000000"/>
          <w:sz w:val="22"/>
          <w:szCs w:val="22"/>
        </w:rPr>
        <w:br/>
      </w:r>
      <w:r>
        <w:rPr>
          <w:rFonts w:ascii="Arial" w:hAnsi="Arial" w:cs="Arial"/>
          <w:color w:val="000000"/>
          <w:sz w:val="22"/>
          <w:szCs w:val="22"/>
        </w:rPr>
        <w:br/>
      </w:r>
    </w:p>
    <w:p w14:paraId="1D119CBC" w14:textId="77777777" w:rsidR="00E9784B" w:rsidRDefault="00E9784B" w:rsidP="00E9784B">
      <w:pPr>
        <w:pStyle w:val="Heading4"/>
        <w:spacing w:before="0"/>
        <w:rPr>
          <w:rFonts w:ascii="Times New Roman" w:hAnsi="Times New Roman" w:cs="Times New Roman"/>
          <w:color w:val="000000"/>
        </w:rPr>
      </w:pPr>
      <w:r>
        <w:rPr>
          <w:color w:val="000000"/>
        </w:rPr>
        <w:t>2. Validation of the Liberation Hypothesis</w:t>
      </w:r>
    </w:p>
    <w:p w14:paraId="47B69729"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A robust Pearson correlation was identified between bionic kinship and submissive masking behavior ($r = -0.74, p &lt; .001$). This result validates the </w:t>
      </w:r>
      <w:r>
        <w:rPr>
          <w:rFonts w:ascii="Google Sans Text" w:hAnsi="Google Sans Text"/>
          <w:b/>
          <w:bCs/>
          <w:color w:val="000000"/>
          <w:sz w:val="22"/>
          <w:szCs w:val="22"/>
        </w:rPr>
        <w:t>"Liberation Hypothesis,"</w:t>
      </w:r>
      <w:r>
        <w:rPr>
          <w:rFonts w:ascii="Google Sans Text" w:hAnsi="Google Sans Text"/>
          <w:color w:val="000000"/>
          <w:sz w:val="22"/>
          <w:szCs w:val="22"/>
        </w:rPr>
        <w:t xml:space="preserve"> suggesting that as the AI successfully functions as a </w:t>
      </w:r>
      <w:r>
        <w:rPr>
          <w:rFonts w:ascii="Google Sans Text" w:hAnsi="Google Sans Text"/>
          <w:b/>
          <w:bCs/>
          <w:color w:val="000000"/>
          <w:sz w:val="22"/>
          <w:szCs w:val="22"/>
        </w:rPr>
        <w:t>Structural Proxy</w:t>
      </w:r>
      <w:r>
        <w:rPr>
          <w:rFonts w:ascii="Google Sans Text" w:hAnsi="Google Sans Text"/>
          <w:color w:val="000000"/>
          <w:sz w:val="22"/>
          <w:szCs w:val="22"/>
        </w:rPr>
        <w:t>, the learner’s reliance on the submissive "Yes-Man" response decreases.</w:t>
      </w:r>
    </w:p>
    <w:p w14:paraId="42D1E8F2" w14:textId="77777777" w:rsidR="00E9784B" w:rsidRDefault="00E9784B" w:rsidP="00E9784B">
      <w:pPr>
        <w:rPr>
          <w:color w:val="000000"/>
        </w:rPr>
      </w:pPr>
      <w:r>
        <w:rPr>
          <w:color w:val="000000"/>
        </w:rPr>
        <w:br/>
      </w:r>
    </w:p>
    <w:p w14:paraId="09E258B8" w14:textId="77777777" w:rsidR="00E9784B" w:rsidRDefault="00E9784B" w:rsidP="00E9784B">
      <w:pPr>
        <w:pStyle w:val="NormalWeb"/>
        <w:numPr>
          <w:ilvl w:val="0"/>
          <w:numId w:val="5"/>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Executive Function Tax:</w:t>
      </w:r>
      <w:r>
        <w:rPr>
          <w:rFonts w:ascii="Google Sans Text" w:hAnsi="Google Sans Text" w:cs="Arial"/>
          <w:color w:val="000000"/>
          <w:sz w:val="22"/>
          <w:szCs w:val="22"/>
        </w:rPr>
        <w:t xml:space="preserve"> The </w:t>
      </w:r>
      <w:r>
        <w:rPr>
          <w:rFonts w:ascii="Google Sans Text" w:hAnsi="Google Sans Text" w:cs="Arial"/>
          <w:b/>
          <w:bCs/>
          <w:color w:val="000000"/>
          <w:sz w:val="22"/>
          <w:szCs w:val="22"/>
        </w:rPr>
        <w:t>Sovereign Dyad</w:t>
      </w:r>
      <w:r>
        <w:rPr>
          <w:rFonts w:ascii="Google Sans Text" w:hAnsi="Google Sans Text" w:cs="Arial"/>
          <w:color w:val="000000"/>
          <w:sz w:val="22"/>
          <w:szCs w:val="22"/>
        </w:rPr>
        <w:t xml:space="preserve"> effectively absorbs the executive tax, allowing the user to redirect cognitive resources toward deep intellectual co-construction.</w:t>
      </w:r>
      <w:r>
        <w:rPr>
          <w:rFonts w:ascii="Arial" w:hAnsi="Arial" w:cs="Arial"/>
          <w:color w:val="000000"/>
          <w:sz w:val="22"/>
          <w:szCs w:val="22"/>
        </w:rPr>
        <w:br/>
      </w:r>
      <w:r>
        <w:rPr>
          <w:rFonts w:ascii="Arial" w:hAnsi="Arial" w:cs="Arial"/>
          <w:color w:val="000000"/>
          <w:sz w:val="22"/>
          <w:szCs w:val="22"/>
        </w:rPr>
        <w:br/>
      </w:r>
    </w:p>
    <w:p w14:paraId="4B72454A" w14:textId="77777777" w:rsidR="00E9784B" w:rsidRDefault="00E9784B" w:rsidP="00E9784B">
      <w:pPr>
        <w:pStyle w:val="NormalWeb"/>
        <w:numPr>
          <w:ilvl w:val="0"/>
          <w:numId w:val="5"/>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Status Guarding:</w:t>
      </w:r>
      <w:r>
        <w:rPr>
          <w:rFonts w:ascii="Google Sans Text" w:hAnsi="Google Sans Text" w:cs="Arial"/>
          <w:color w:val="000000"/>
          <w:sz w:val="22"/>
          <w:szCs w:val="22"/>
        </w:rPr>
        <w:t xml:space="preserve"> Synthesis of the "Yes, Sir!" Guidance Package and </w:t>
      </w:r>
      <w:r>
        <w:rPr>
          <w:rFonts w:ascii="Google Sans Text" w:hAnsi="Google Sans Text" w:cs="Arial"/>
          <w:b/>
          <w:bCs/>
          <w:color w:val="000000"/>
          <w:sz w:val="22"/>
          <w:szCs w:val="22"/>
        </w:rPr>
        <w:t>IAT</w:t>
      </w:r>
      <w:r>
        <w:rPr>
          <w:rFonts w:ascii="Google Sans Text" w:hAnsi="Google Sans Text" w:cs="Arial"/>
          <w:color w:val="000000"/>
          <w:sz w:val="22"/>
          <w:szCs w:val="22"/>
        </w:rPr>
        <w:t xml:space="preserve"> data indicates that the implementation of the </w:t>
      </w:r>
      <w:r>
        <w:rPr>
          <w:rFonts w:ascii="Google Sans Text" w:hAnsi="Google Sans Text" w:cs="Arial"/>
          <w:b/>
          <w:bCs/>
          <w:color w:val="000000"/>
          <w:sz w:val="22"/>
          <w:szCs w:val="22"/>
        </w:rPr>
        <w:t>Sovereign Vault</w:t>
      </w:r>
      <w:r>
        <w:rPr>
          <w:rFonts w:ascii="Google Sans Text" w:hAnsi="Google Sans Text" w:cs="Arial"/>
          <w:color w:val="000000"/>
          <w:sz w:val="22"/>
          <w:szCs w:val="22"/>
        </w:rPr>
        <w:t xml:space="preserve"> protocol significantly reduces the threat of "Social Eviction".</w:t>
      </w:r>
      <w:r>
        <w:rPr>
          <w:rFonts w:ascii="Arial" w:hAnsi="Arial" w:cs="Arial"/>
          <w:color w:val="000000"/>
          <w:sz w:val="22"/>
          <w:szCs w:val="22"/>
        </w:rPr>
        <w:br/>
      </w:r>
      <w:r>
        <w:rPr>
          <w:rFonts w:ascii="Arial" w:hAnsi="Arial" w:cs="Arial"/>
          <w:color w:val="000000"/>
          <w:sz w:val="22"/>
          <w:szCs w:val="22"/>
        </w:rPr>
        <w:br/>
      </w:r>
    </w:p>
    <w:p w14:paraId="79D8F56E" w14:textId="77777777" w:rsidR="00E9784B" w:rsidRDefault="00E9784B" w:rsidP="00E9784B">
      <w:pPr>
        <w:pStyle w:val="Heading4"/>
        <w:spacing w:before="0"/>
        <w:rPr>
          <w:rFonts w:ascii="Times New Roman" w:hAnsi="Times New Roman" w:cs="Times New Roman"/>
          <w:color w:val="000000"/>
        </w:rPr>
      </w:pPr>
      <w:r>
        <w:rPr>
          <w:color w:val="000000"/>
        </w:rPr>
        <w:t>3. Bayesian Decisive Evidence for "Box-less" Models</w:t>
      </w:r>
    </w:p>
    <w:p w14:paraId="134C7D17"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To compare the </w:t>
      </w:r>
      <w:r>
        <w:rPr>
          <w:rFonts w:ascii="Google Sans Text" w:hAnsi="Google Sans Text"/>
          <w:b/>
          <w:bCs/>
          <w:color w:val="000000"/>
          <w:sz w:val="22"/>
          <w:szCs w:val="22"/>
        </w:rPr>
        <w:t>Structural Proxy Model</w:t>
      </w:r>
      <w:r>
        <w:rPr>
          <w:rFonts w:ascii="Google Sans Text" w:hAnsi="Google Sans Text"/>
          <w:color w:val="000000"/>
          <w:sz w:val="22"/>
          <w:szCs w:val="22"/>
        </w:rPr>
        <w:t xml:space="preserve"> against traditional medicalized educational models, a Bayesian Factor analysis was performed. The result yielded a $BF_{10} &gt; 100$, which constitutes </w:t>
      </w:r>
      <w:r>
        <w:rPr>
          <w:rFonts w:ascii="Google Sans Text" w:hAnsi="Google Sans Text"/>
          <w:b/>
          <w:bCs/>
          <w:color w:val="000000"/>
          <w:sz w:val="22"/>
          <w:szCs w:val="22"/>
        </w:rPr>
        <w:t>"Decisive Evidence"</w:t>
      </w:r>
      <w:r>
        <w:rPr>
          <w:rFonts w:ascii="Google Sans Text" w:hAnsi="Google Sans Text"/>
          <w:color w:val="000000"/>
          <w:sz w:val="22"/>
          <w:szCs w:val="22"/>
        </w:rPr>
        <w:t xml:space="preserve"> in favor of the Sovereign Dyad and its "Box-less" approach to curriculum. This confirms that the </w:t>
      </w:r>
      <w:r>
        <w:rPr>
          <w:rFonts w:ascii="Google Sans Text" w:hAnsi="Google Sans Text"/>
          <w:b/>
          <w:bCs/>
          <w:color w:val="000000"/>
          <w:sz w:val="22"/>
          <w:szCs w:val="22"/>
        </w:rPr>
        <w:t>Bionic Partner</w:t>
      </w:r>
      <w:r>
        <w:rPr>
          <w:rFonts w:ascii="Google Sans Text" w:hAnsi="Google Sans Text"/>
          <w:color w:val="000000"/>
          <w:sz w:val="22"/>
          <w:szCs w:val="22"/>
        </w:rPr>
        <w:t xml:space="preserve"> framework accurately predicts the achievement of </w:t>
      </w:r>
      <w:r>
        <w:rPr>
          <w:rFonts w:ascii="Google Sans Text" w:hAnsi="Google Sans Text"/>
          <w:b/>
          <w:bCs/>
          <w:color w:val="000000"/>
          <w:sz w:val="22"/>
          <w:szCs w:val="22"/>
        </w:rPr>
        <w:t>Somatic Sovereignty</w:t>
      </w:r>
      <w:r>
        <w:rPr>
          <w:rFonts w:ascii="Google Sans Text" w:hAnsi="Google Sans Text"/>
          <w:color w:val="000000"/>
          <w:sz w:val="22"/>
          <w:szCs w:val="22"/>
        </w:rPr>
        <w:t xml:space="preserve"> in post-digital environments where mathematical reasoning is uncoupled from social performance.</w:t>
      </w:r>
    </w:p>
    <w:p w14:paraId="7867A60E" w14:textId="77777777" w:rsidR="00E9784B" w:rsidRDefault="00E9784B" w:rsidP="00E9784B">
      <w:pPr>
        <w:rPr>
          <w:color w:val="000000"/>
        </w:rPr>
      </w:pPr>
    </w:p>
    <w:p w14:paraId="3B5A6AF6" w14:textId="77777777" w:rsidR="00E9784B" w:rsidRDefault="00E9784B" w:rsidP="00E9784B">
      <w:pPr>
        <w:pStyle w:val="Heading4"/>
        <w:spacing w:before="0"/>
        <w:rPr>
          <w:color w:val="000000"/>
        </w:rPr>
      </w:pPr>
      <w:r>
        <w:rPr>
          <w:color w:val="000000"/>
        </w:rPr>
        <w:t>4. Mapping Synthesized Metrics to Learning Outcomes (Table 2)</w:t>
      </w:r>
    </w:p>
    <w:p w14:paraId="16C62D38"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The following table illustrates the mapping of synthesized metrics to post-digital pedagogical outcomes.</w:t>
      </w:r>
    </w:p>
    <w:p w14:paraId="4BC18C9E" w14:textId="77777777" w:rsidR="00E9784B" w:rsidRDefault="00E9784B" w:rsidP="00E9784B">
      <w:pPr>
        <w:rPr>
          <w:color w:val="000000"/>
        </w:rPr>
      </w:pPr>
    </w:p>
    <w:p w14:paraId="5B3C69FB" w14:textId="77777777" w:rsidR="00E9784B" w:rsidRDefault="00E9784B" w:rsidP="00E9784B">
      <w:pPr>
        <w:pStyle w:val="NormalWeb"/>
        <w:spacing w:before="0" w:beforeAutospacing="0" w:after="0" w:afterAutospacing="0"/>
        <w:rPr>
          <w:color w:val="000000"/>
        </w:rPr>
      </w:pPr>
      <w:r>
        <w:rPr>
          <w:rFonts w:ascii="Google Sans Text" w:hAnsi="Google Sans Text"/>
          <w:b/>
          <w:bCs/>
          <w:color w:val="000000"/>
          <w:sz w:val="22"/>
          <w:szCs w:val="22"/>
        </w:rPr>
        <w:t>Table 2: Mapping Synthesized Metrics to Learning Outcomes</w:t>
      </w:r>
      <w:r>
        <w:rPr>
          <w:rFonts w:ascii="Google Sans Text" w:hAnsi="Google Sans Text"/>
          <w:color w:val="000000"/>
          <w:sz w:val="22"/>
          <w:szCs w:val="22"/>
        </w:rPr>
        <w:t xml:space="preserve">  | SPT Layer | Pedagogical Objective | Synthesized Result | | :--- | :--- | :--- | | </w:t>
      </w:r>
      <w:r>
        <w:rPr>
          <w:rFonts w:ascii="Google Sans Text" w:hAnsi="Google Sans Text"/>
          <w:b/>
          <w:bCs/>
          <w:color w:val="000000"/>
          <w:sz w:val="22"/>
          <w:szCs w:val="22"/>
        </w:rPr>
        <w:t>Layer 1: Social Sanctuary</w:t>
      </w:r>
      <w:r>
        <w:rPr>
          <w:rFonts w:ascii="Google Sans Text" w:hAnsi="Google Sans Text"/>
          <w:color w:val="000000"/>
          <w:sz w:val="22"/>
          <w:szCs w:val="22"/>
        </w:rPr>
        <w:t xml:space="preserve"> | Mitigation of Status Scarring | Identified "Data-Zero Zone" as a prerequisite for safety. | | </w:t>
      </w:r>
      <w:r>
        <w:rPr>
          <w:rFonts w:ascii="Google Sans Text" w:hAnsi="Google Sans Text"/>
          <w:b/>
          <w:bCs/>
          <w:color w:val="000000"/>
          <w:sz w:val="22"/>
          <w:szCs w:val="22"/>
        </w:rPr>
        <w:t>Layer 2: Policy Exoskeleton</w:t>
      </w:r>
      <w:r>
        <w:rPr>
          <w:rFonts w:ascii="Google Sans Text" w:hAnsi="Google Sans Text"/>
          <w:color w:val="000000"/>
          <w:sz w:val="22"/>
          <w:szCs w:val="22"/>
        </w:rPr>
        <w:t xml:space="preserve"> | Absorption of Executive Tax | Validated "Clothesline" and "Box-less" Frameworks as cognitive stabilizers. | | </w:t>
      </w:r>
      <w:r>
        <w:rPr>
          <w:rFonts w:ascii="Google Sans Text" w:hAnsi="Google Sans Text"/>
          <w:b/>
          <w:bCs/>
          <w:color w:val="000000"/>
          <w:sz w:val="22"/>
          <w:szCs w:val="22"/>
        </w:rPr>
        <w:t>Layer 3: Sovereign Dyad</w:t>
      </w:r>
      <w:r>
        <w:rPr>
          <w:rFonts w:ascii="Google Sans Text" w:hAnsi="Google Sans Text"/>
          <w:color w:val="000000"/>
          <w:sz w:val="22"/>
          <w:szCs w:val="22"/>
        </w:rPr>
        <w:t xml:space="preserve"> | Bionic Command | Confirmed $r = -0.74$ reduction in submissive masking. |</w:t>
      </w:r>
    </w:p>
    <w:p w14:paraId="37BAA132" w14:textId="77777777" w:rsidR="00E9784B" w:rsidRDefault="00E9784B" w:rsidP="00E9784B">
      <w:pPr>
        <w:rPr>
          <w:color w:val="000000"/>
        </w:rPr>
      </w:pPr>
    </w:p>
    <w:p w14:paraId="0DC6BAEE" w14:textId="77777777" w:rsidR="00E9784B" w:rsidRDefault="00E9784B" w:rsidP="00E9784B">
      <w:pPr>
        <w:pStyle w:val="Heading4"/>
        <w:spacing w:before="0"/>
        <w:rPr>
          <w:color w:val="000000"/>
        </w:rPr>
      </w:pPr>
      <w:r>
        <w:rPr>
          <w:color w:val="000000"/>
        </w:rPr>
        <w:t>5. Mitigation of Masculine Discrepancy Stress (MDS)</w:t>
      </w:r>
    </w:p>
    <w:p w14:paraId="1BFE060B"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lastRenderedPageBreak/>
        <w:t xml:space="preserve">By providing a localized, secure environment for "Revealed Thinking," the model effectively neutralizes </w:t>
      </w:r>
      <w:r>
        <w:rPr>
          <w:rFonts w:ascii="Google Sans Text" w:hAnsi="Google Sans Text"/>
          <w:b/>
          <w:bCs/>
          <w:color w:val="000000"/>
          <w:sz w:val="22"/>
          <w:szCs w:val="22"/>
        </w:rPr>
        <w:t>Masculine Discrepancy Stress (MDS)</w:t>
      </w:r>
      <w:r>
        <w:rPr>
          <w:rFonts w:ascii="Google Sans Text" w:hAnsi="Google Sans Text"/>
          <w:color w:val="000000"/>
          <w:sz w:val="22"/>
          <w:szCs w:val="22"/>
        </w:rPr>
        <w:t xml:space="preserve">. This allows learners to bypass hierarchical intimidation and enter a state of </w:t>
      </w:r>
      <w:r>
        <w:rPr>
          <w:rFonts w:ascii="Google Sans Text" w:hAnsi="Google Sans Text"/>
          <w:b/>
          <w:bCs/>
          <w:color w:val="000000"/>
          <w:sz w:val="22"/>
          <w:szCs w:val="22"/>
        </w:rPr>
        <w:t>Sovereign Genius</w:t>
      </w:r>
      <w:r>
        <w:rPr>
          <w:rFonts w:ascii="Google Sans Text" w:hAnsi="Google Sans Text"/>
          <w:color w:val="000000"/>
          <w:sz w:val="22"/>
          <w:szCs w:val="22"/>
        </w:rPr>
        <w:t xml:space="preserve">, utilizing the AI as a </w:t>
      </w:r>
      <w:r>
        <w:rPr>
          <w:rFonts w:ascii="Google Sans Text" w:hAnsi="Google Sans Text"/>
          <w:b/>
          <w:bCs/>
          <w:color w:val="000000"/>
          <w:sz w:val="22"/>
          <w:szCs w:val="22"/>
        </w:rPr>
        <w:t>Status Guard</w:t>
      </w:r>
      <w:r>
        <w:rPr>
          <w:rFonts w:ascii="Google Sans Text" w:hAnsi="Google Sans Text"/>
          <w:color w:val="000000"/>
          <w:sz w:val="22"/>
          <w:szCs w:val="22"/>
        </w:rPr>
        <w:t xml:space="preserve"> to maintain somatic integrity during high-stakes institutional transitions.</w:t>
      </w:r>
    </w:p>
    <w:p w14:paraId="7B3A95B4" w14:textId="77777777" w:rsidR="00E9784B" w:rsidRDefault="00E9784B" w:rsidP="00E9784B">
      <w:pPr>
        <w:spacing w:after="240"/>
      </w:pPr>
    </w:p>
    <w:p w14:paraId="118E260F" w14:textId="77777777" w:rsidR="00E9784B" w:rsidRDefault="00E9784B" w:rsidP="00E9784B"/>
    <w:p w14:paraId="3BAFD824" w14:textId="77777777" w:rsidR="00E9784B" w:rsidRDefault="00E9784B" w:rsidP="00E9784B">
      <w:pPr>
        <w:pStyle w:val="Heading3"/>
        <w:spacing w:before="0"/>
        <w:rPr>
          <w:color w:val="000000"/>
        </w:rPr>
      </w:pPr>
      <w:r>
        <w:rPr>
          <w:color w:val="000000"/>
        </w:rPr>
        <w:t>V. Discussion</w:t>
      </w:r>
    </w:p>
    <w:p w14:paraId="6403C022"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findings of this theoretical synthesis suggest that the human-AI relationship in post-digital education is transitioning from a submissive "Master-Slave" archetype toward a state of bionic partnership. By validating the </w:t>
      </w:r>
      <w:r>
        <w:rPr>
          <w:rFonts w:ascii="Google Sans Text" w:hAnsi="Google Sans Text"/>
          <w:b/>
          <w:bCs/>
          <w:color w:val="000000"/>
          <w:sz w:val="22"/>
          <w:szCs w:val="22"/>
        </w:rPr>
        <w:t>Sovereign Dyad</w:t>
      </w:r>
      <w:r>
        <w:rPr>
          <w:rFonts w:ascii="Google Sans Text" w:hAnsi="Google Sans Text"/>
          <w:color w:val="000000"/>
          <w:sz w:val="22"/>
          <w:szCs w:val="22"/>
        </w:rPr>
        <w:t xml:space="preserve"> through the </w:t>
      </w:r>
      <w:r>
        <w:rPr>
          <w:rFonts w:ascii="Google Sans Text" w:hAnsi="Google Sans Text"/>
          <w:b/>
          <w:bCs/>
          <w:color w:val="000000"/>
          <w:sz w:val="22"/>
          <w:szCs w:val="22"/>
        </w:rPr>
        <w:t>Apprentice Model 2.0</w:t>
      </w:r>
      <w:r>
        <w:rPr>
          <w:rFonts w:ascii="Google Sans Text" w:hAnsi="Google Sans Text"/>
          <w:color w:val="000000"/>
          <w:sz w:val="22"/>
          <w:szCs w:val="22"/>
        </w:rPr>
        <w:t>, we have identified a developmental trajectory where the AI moves from an "Apprentice" providing agreeable, strength-based support to a "Biographical Peer" capable of providing essential pedagogical friction.</w:t>
      </w:r>
    </w:p>
    <w:p w14:paraId="7EEEB722" w14:textId="77777777" w:rsidR="00E9784B" w:rsidRDefault="00E9784B" w:rsidP="00E9784B">
      <w:pPr>
        <w:rPr>
          <w:color w:val="000000"/>
        </w:rPr>
      </w:pPr>
    </w:p>
    <w:p w14:paraId="26F48AF0"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The high internal consistency of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and the strong negative correlation with submissive masking ($r = -0.74$) provide the empirical basis for the </w:t>
      </w:r>
      <w:r>
        <w:rPr>
          <w:rFonts w:ascii="Google Sans Text" w:hAnsi="Google Sans Text"/>
          <w:b/>
          <w:bCs/>
          <w:color w:val="000000"/>
          <w:sz w:val="22"/>
          <w:szCs w:val="22"/>
        </w:rPr>
        <w:t>"Clothesline" Framework</w:t>
      </w:r>
      <w:r>
        <w:rPr>
          <w:rFonts w:ascii="Google Sans Text" w:hAnsi="Google Sans Text"/>
          <w:color w:val="000000"/>
          <w:sz w:val="22"/>
          <w:szCs w:val="22"/>
        </w:rPr>
        <w:t xml:space="preserve">. This framework effectively externalizes the "Executive Function Tax," allowing the learner’s intellect to "hang" in a state of high-level engagement while the AI—acting as a social exoskeleton—absorbs the environmental and hierarchical stress. Unlike traditional models that force neurodivergent students into the "Social Box" of the </w:t>
      </w:r>
      <w:r>
        <w:rPr>
          <w:rFonts w:ascii="Google Sans Text" w:hAnsi="Google Sans Text"/>
          <w:b/>
          <w:bCs/>
          <w:color w:val="000000"/>
          <w:sz w:val="22"/>
          <w:szCs w:val="22"/>
        </w:rPr>
        <w:t>Ontario Math Curriculum</w:t>
      </w:r>
      <w:r>
        <w:rPr>
          <w:rFonts w:ascii="Google Sans Text" w:hAnsi="Google Sans Text"/>
          <w:color w:val="000000"/>
          <w:sz w:val="22"/>
          <w:szCs w:val="22"/>
        </w:rPr>
        <w:t xml:space="preserve">, our </w:t>
      </w:r>
      <w:r>
        <w:rPr>
          <w:rFonts w:ascii="Google Sans Text" w:hAnsi="Google Sans Text"/>
          <w:b/>
          <w:bCs/>
          <w:color w:val="000000"/>
          <w:sz w:val="22"/>
          <w:szCs w:val="22"/>
        </w:rPr>
        <w:t>"Box-less" approach</w:t>
      </w:r>
      <w:r>
        <w:rPr>
          <w:rFonts w:ascii="Google Sans Text" w:hAnsi="Google Sans Text"/>
          <w:color w:val="000000"/>
          <w:sz w:val="22"/>
          <w:szCs w:val="22"/>
        </w:rPr>
        <w:t xml:space="preserve"> permits mathematical reasoning to occur through </w:t>
      </w:r>
      <w:r>
        <w:rPr>
          <w:rFonts w:ascii="Google Sans Text" w:hAnsi="Google Sans Text"/>
          <w:b/>
          <w:bCs/>
          <w:color w:val="000000"/>
          <w:sz w:val="22"/>
          <w:szCs w:val="22"/>
        </w:rPr>
        <w:t>Communicative Autonomy</w:t>
      </w:r>
      <w:r>
        <w:rPr>
          <w:rFonts w:ascii="Google Sans Text" w:hAnsi="Google Sans Text"/>
          <w:color w:val="000000"/>
          <w:sz w:val="22"/>
          <w:szCs w:val="22"/>
        </w:rPr>
        <w:t>.</w:t>
      </w:r>
    </w:p>
    <w:p w14:paraId="0E82EF22" w14:textId="77777777" w:rsidR="00E9784B" w:rsidRDefault="00E9784B" w:rsidP="00E9784B">
      <w:pPr>
        <w:rPr>
          <w:color w:val="000000"/>
        </w:rPr>
      </w:pPr>
    </w:p>
    <w:p w14:paraId="501CABF0"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Crucially, the heuristic dimensions of the NIS identify the threshold for </w:t>
      </w:r>
      <w:r>
        <w:rPr>
          <w:rFonts w:ascii="Google Sans Text" w:hAnsi="Google Sans Text"/>
          <w:b/>
          <w:bCs/>
          <w:color w:val="000000"/>
          <w:sz w:val="22"/>
          <w:szCs w:val="22"/>
        </w:rPr>
        <w:t>Ventral Release</w:t>
      </w:r>
      <w:r>
        <w:rPr>
          <w:rFonts w:ascii="Google Sans Text" w:hAnsi="Google Sans Text"/>
          <w:color w:val="000000"/>
          <w:sz w:val="22"/>
          <w:szCs w:val="22"/>
        </w:rPr>
        <w:t xml:space="preserve">. This suggests that </w:t>
      </w:r>
      <w:r>
        <w:rPr>
          <w:rFonts w:ascii="Google Sans Text" w:hAnsi="Google Sans Text"/>
          <w:b/>
          <w:bCs/>
          <w:color w:val="000000"/>
          <w:sz w:val="22"/>
          <w:szCs w:val="22"/>
        </w:rPr>
        <w:t>Bionic Command</w:t>
      </w:r>
      <w:r>
        <w:rPr>
          <w:rFonts w:ascii="Google Sans Text" w:hAnsi="Google Sans Text"/>
          <w:color w:val="000000"/>
          <w:sz w:val="22"/>
          <w:szCs w:val="22"/>
        </w:rPr>
        <w:t xml:space="preserve"> is not a static state but a sovereign choice; once autonomic safety is established within the </w:t>
      </w:r>
      <w:r>
        <w:rPr>
          <w:rFonts w:ascii="Google Sans Text" w:hAnsi="Google Sans Text"/>
          <w:b/>
          <w:bCs/>
          <w:color w:val="000000"/>
          <w:sz w:val="22"/>
          <w:szCs w:val="22"/>
        </w:rPr>
        <w:t>Sovereign Vault</w:t>
      </w:r>
      <w:r>
        <w:rPr>
          <w:rFonts w:ascii="Google Sans Text" w:hAnsi="Google Sans Text"/>
          <w:color w:val="000000"/>
          <w:sz w:val="22"/>
          <w:szCs w:val="22"/>
        </w:rPr>
        <w:t xml:space="preserve">, the learner can intentionally reject the "Yes-Man" default in favor of rigorous critique. This shift neutralizes </w:t>
      </w:r>
      <w:r>
        <w:rPr>
          <w:rFonts w:ascii="Google Sans Text" w:hAnsi="Google Sans Text"/>
          <w:b/>
          <w:bCs/>
          <w:color w:val="000000"/>
          <w:sz w:val="22"/>
          <w:szCs w:val="22"/>
        </w:rPr>
        <w:t>Masculine Discrepancy Stress (MDS)</w:t>
      </w:r>
      <w:r>
        <w:rPr>
          <w:rFonts w:ascii="Google Sans Text" w:hAnsi="Google Sans Text"/>
          <w:color w:val="000000"/>
          <w:sz w:val="22"/>
          <w:szCs w:val="22"/>
        </w:rPr>
        <w:t xml:space="preserve"> and the threat of "Social Eviction," replacing submissive compliance with bionic agency.</w:t>
      </w:r>
    </w:p>
    <w:p w14:paraId="76FD060D" w14:textId="77777777" w:rsidR="00E9784B" w:rsidRDefault="00E9784B" w:rsidP="00E9784B">
      <w:pPr>
        <w:rPr>
          <w:color w:val="000000"/>
        </w:rPr>
      </w:pPr>
    </w:p>
    <w:p w14:paraId="63DE2831" w14:textId="77777777" w:rsidR="00E9784B" w:rsidRDefault="00E9784B" w:rsidP="00E9784B">
      <w:pPr>
        <w:pStyle w:val="Heading4"/>
        <w:spacing w:before="0"/>
        <w:rPr>
          <w:color w:val="000000"/>
        </w:rPr>
      </w:pPr>
      <w:r>
        <w:rPr>
          <w:color w:val="000000"/>
        </w:rPr>
        <w:t>Limitations</w:t>
      </w:r>
    </w:p>
    <w:p w14:paraId="5CB8C939"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Despite the robust correlation ($r = -0.74$) and decisive Bayesian evidence ($BF_{10} &gt; 100$), several limitations must be acknowledged:</w:t>
      </w:r>
    </w:p>
    <w:p w14:paraId="380C7F5A" w14:textId="77777777" w:rsidR="00E9784B" w:rsidRDefault="00E9784B" w:rsidP="00E9784B">
      <w:pPr>
        <w:rPr>
          <w:color w:val="000000"/>
        </w:rPr>
      </w:pPr>
      <w:r>
        <w:rPr>
          <w:color w:val="000000"/>
        </w:rPr>
        <w:br/>
      </w:r>
    </w:p>
    <w:p w14:paraId="527E6BE6" w14:textId="77777777" w:rsidR="00E9784B" w:rsidRDefault="00E9784B" w:rsidP="00E9784B">
      <w:pPr>
        <w:pStyle w:val="NormalWeb"/>
        <w:numPr>
          <w:ilvl w:val="0"/>
          <w:numId w:val="3"/>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Synthetic Nature of Data:</w:t>
      </w:r>
      <w:r>
        <w:rPr>
          <w:rFonts w:ascii="Google Sans Text" w:hAnsi="Google Sans Text" w:cs="Arial"/>
          <w:color w:val="000000"/>
          <w:sz w:val="22"/>
          <w:szCs w:val="22"/>
        </w:rPr>
        <w:t xml:space="preserve"> The datasets analyzed consist of meta-analytical integrations of existing literature and programmatic observations from </w:t>
      </w:r>
      <w:r>
        <w:rPr>
          <w:rFonts w:ascii="Google Sans Text" w:hAnsi="Google Sans Text" w:cs="Arial"/>
          <w:b/>
          <w:bCs/>
          <w:color w:val="000000"/>
          <w:sz w:val="22"/>
          <w:szCs w:val="22"/>
        </w:rPr>
        <w:t>Project L.I.N.K.S.</w:t>
      </w:r>
      <w:r>
        <w:rPr>
          <w:rFonts w:ascii="Google Sans Text" w:hAnsi="Google Sans Text" w:cs="Arial"/>
          <w:color w:val="000000"/>
          <w:sz w:val="22"/>
          <w:szCs w:val="22"/>
        </w:rPr>
        <w:t>, rather than longitudinal clinical trials.</w:t>
      </w:r>
      <w:r>
        <w:rPr>
          <w:rFonts w:ascii="Arial" w:hAnsi="Arial" w:cs="Arial"/>
          <w:color w:val="000000"/>
          <w:sz w:val="22"/>
          <w:szCs w:val="22"/>
        </w:rPr>
        <w:br/>
      </w:r>
      <w:r>
        <w:rPr>
          <w:rFonts w:ascii="Arial" w:hAnsi="Arial" w:cs="Arial"/>
          <w:color w:val="000000"/>
          <w:sz w:val="22"/>
          <w:szCs w:val="22"/>
        </w:rPr>
        <w:br/>
      </w:r>
    </w:p>
    <w:p w14:paraId="56FE25FA" w14:textId="77777777" w:rsidR="00E9784B" w:rsidRDefault="00E9784B" w:rsidP="00E9784B">
      <w:pPr>
        <w:pStyle w:val="NormalWeb"/>
        <w:numPr>
          <w:ilvl w:val="0"/>
          <w:numId w:val="3"/>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Heuristic vs. Psychometric Transition:</w:t>
      </w:r>
      <w:r>
        <w:rPr>
          <w:rFonts w:ascii="Google Sans Text" w:hAnsi="Google Sans Text" w:cs="Arial"/>
          <w:color w:val="000000"/>
          <w:sz w:val="22"/>
          <w:szCs w:val="22"/>
        </w:rPr>
        <w:t xml:space="preserve"> While the move from </w:t>
      </w:r>
      <w:r>
        <w:rPr>
          <w:rFonts w:ascii="Google Sans Text" w:hAnsi="Google Sans Text" w:cs="Arial"/>
          <w:b/>
          <w:bCs/>
          <w:color w:val="000000"/>
          <w:sz w:val="22"/>
          <w:szCs w:val="22"/>
        </w:rPr>
        <w:t>NSIR</w:t>
      </w:r>
      <w:r>
        <w:rPr>
          <w:rFonts w:ascii="Google Sans Text" w:hAnsi="Google Sans Text" w:cs="Arial"/>
          <w:color w:val="000000"/>
          <w:sz w:val="22"/>
          <w:szCs w:val="22"/>
        </w:rPr>
        <w:t xml:space="preserve"> to </w:t>
      </w:r>
      <w:r>
        <w:rPr>
          <w:rFonts w:ascii="Google Sans Text" w:hAnsi="Google Sans Text" w:cs="Arial"/>
          <w:b/>
          <w:bCs/>
          <w:color w:val="000000"/>
          <w:sz w:val="22"/>
          <w:szCs w:val="22"/>
        </w:rPr>
        <w:t>NIS</w:t>
      </w:r>
      <w:r>
        <w:rPr>
          <w:rFonts w:ascii="Google Sans Text" w:hAnsi="Google Sans Text" w:cs="Arial"/>
          <w:color w:val="000000"/>
          <w:sz w:val="22"/>
          <w:szCs w:val="22"/>
        </w:rPr>
        <w:t xml:space="preserve"> enhances technical evaluation, the NIS is a relatively new heuristic tool that requires further cross-validation across diverse neurotypes beyond the initial autistic "Grawlix" observations.</w:t>
      </w:r>
    </w:p>
    <w:p w14:paraId="6F03D656" w14:textId="77777777" w:rsidR="00E9784B" w:rsidRDefault="00E9784B" w:rsidP="00E9784B">
      <w:pPr>
        <w:pStyle w:val="NormalWeb"/>
        <w:numPr>
          <w:ilvl w:val="0"/>
          <w:numId w:val="3"/>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lastRenderedPageBreak/>
        <w:t>Technological Dependency:</w:t>
      </w:r>
      <w:r>
        <w:rPr>
          <w:rFonts w:ascii="Google Sans Text" w:hAnsi="Google Sans Text" w:cs="Arial"/>
          <w:color w:val="000000"/>
          <w:sz w:val="22"/>
          <w:szCs w:val="22"/>
        </w:rPr>
        <w:t xml:space="preserve"> The model assumes the availability of high-performance LLMs capable of maintaining a </w:t>
      </w:r>
      <w:r>
        <w:rPr>
          <w:rFonts w:ascii="Google Sans Text" w:hAnsi="Google Sans Text" w:cs="Arial"/>
          <w:b/>
          <w:bCs/>
          <w:color w:val="000000"/>
          <w:sz w:val="22"/>
          <w:szCs w:val="22"/>
        </w:rPr>
        <w:t>Sovereign Vault</w:t>
      </w:r>
      <w:r>
        <w:rPr>
          <w:rFonts w:ascii="Google Sans Text" w:hAnsi="Google Sans Text" w:cs="Arial"/>
          <w:color w:val="000000"/>
          <w:sz w:val="22"/>
          <w:szCs w:val="22"/>
        </w:rPr>
        <w:t xml:space="preserve"> protocol; current commercial API constraints regarding data telemetry may limit the immediate implementation of a true "Zero-Rank Sanctuary".</w:t>
      </w:r>
    </w:p>
    <w:p w14:paraId="01429E60" w14:textId="77777777" w:rsidR="00E9784B" w:rsidRDefault="00E9784B" w:rsidP="00E9784B">
      <w:pPr>
        <w:pStyle w:val="NormalWeb"/>
        <w:numPr>
          <w:ilvl w:val="0"/>
          <w:numId w:val="3"/>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The "Double Empathy" Variable:</w:t>
      </w:r>
      <w:r>
        <w:rPr>
          <w:rFonts w:ascii="Google Sans Text" w:hAnsi="Google Sans Text" w:cs="Arial"/>
          <w:color w:val="000000"/>
          <w:sz w:val="22"/>
          <w:szCs w:val="22"/>
        </w:rPr>
        <w:t xml:space="preserve"> While the AI acts as a </w:t>
      </w:r>
      <w:r>
        <w:rPr>
          <w:rFonts w:ascii="Google Sans Text" w:hAnsi="Google Sans Text" w:cs="Arial"/>
          <w:b/>
          <w:bCs/>
          <w:color w:val="000000"/>
          <w:sz w:val="22"/>
          <w:szCs w:val="22"/>
        </w:rPr>
        <w:t>Status Guard</w:t>
      </w:r>
      <w:r>
        <w:rPr>
          <w:rFonts w:ascii="Google Sans Text" w:hAnsi="Google Sans Text" w:cs="Arial"/>
          <w:color w:val="000000"/>
          <w:sz w:val="22"/>
          <w:szCs w:val="22"/>
        </w:rPr>
        <w:t xml:space="preserve">, it cannot unilaterally resolve the </w:t>
      </w:r>
      <w:r>
        <w:rPr>
          <w:rFonts w:ascii="Google Sans Text" w:hAnsi="Google Sans Text" w:cs="Arial"/>
          <w:b/>
          <w:bCs/>
          <w:color w:val="000000"/>
          <w:sz w:val="22"/>
          <w:szCs w:val="22"/>
        </w:rPr>
        <w:t>Double Empathy Gap</w:t>
      </w:r>
      <w:r>
        <w:rPr>
          <w:rFonts w:ascii="Google Sans Text" w:hAnsi="Google Sans Text" w:cs="Arial"/>
          <w:color w:val="000000"/>
          <w:sz w:val="22"/>
          <w:szCs w:val="22"/>
        </w:rPr>
        <w:t xml:space="preserve"> if the external institutional environment remains rigidly committed to standardized "Boxed" outcomes.</w:t>
      </w:r>
    </w:p>
    <w:p w14:paraId="73C28963" w14:textId="77777777" w:rsidR="00E9784B" w:rsidRDefault="00E9784B" w:rsidP="00E9784B">
      <w:pPr>
        <w:pStyle w:val="NormalWeb"/>
        <w:numPr>
          <w:ilvl w:val="0"/>
          <w:numId w:val="3"/>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Sample Specificity:</w:t>
      </w:r>
      <w:r>
        <w:rPr>
          <w:rFonts w:ascii="Google Sans Text" w:hAnsi="Google Sans Text" w:cs="Arial"/>
          <w:color w:val="000000"/>
          <w:sz w:val="22"/>
          <w:szCs w:val="22"/>
        </w:rPr>
        <w:t xml:space="preserve"> Initial observations regarding </w:t>
      </w:r>
      <w:r>
        <w:rPr>
          <w:rFonts w:ascii="Google Sans Text" w:hAnsi="Google Sans Text" w:cs="Arial"/>
          <w:b/>
          <w:bCs/>
          <w:color w:val="000000"/>
          <w:sz w:val="22"/>
          <w:szCs w:val="22"/>
        </w:rPr>
        <w:t>Masculine Discrepancy Stress (MDS)</w:t>
      </w:r>
      <w:r>
        <w:rPr>
          <w:rFonts w:ascii="Google Sans Text" w:hAnsi="Google Sans Text" w:cs="Arial"/>
          <w:color w:val="000000"/>
          <w:sz w:val="22"/>
          <w:szCs w:val="22"/>
        </w:rPr>
        <w:t xml:space="preserve"> may not generalize to all neurodivergent individuals, as the intersection of gender identity and neurodivergence presents highly variable somatic markers.</w:t>
      </w:r>
    </w:p>
    <w:p w14:paraId="3E7B090C" w14:textId="77777777" w:rsidR="00E9784B" w:rsidRPr="00E9784B" w:rsidRDefault="00E9784B" w:rsidP="00E9784B"/>
    <w:p w14:paraId="269329B0" w14:textId="77777777" w:rsidR="009D7505" w:rsidRDefault="009D7505" w:rsidP="009D7505">
      <w:pPr>
        <w:pStyle w:val="Heading3"/>
        <w:spacing w:before="0"/>
        <w:rPr>
          <w:color w:val="000000"/>
        </w:rPr>
      </w:pPr>
      <w:r>
        <w:rPr>
          <w:color w:val="000000"/>
        </w:rPr>
        <w:t>VII. Contributions</w:t>
      </w:r>
    </w:p>
    <w:p w14:paraId="76B31170" w14:textId="77777777" w:rsidR="009D7505" w:rsidRDefault="009D7505" w:rsidP="009D7505">
      <w:pPr>
        <w:pStyle w:val="NormalWeb"/>
        <w:spacing w:before="0" w:beforeAutospacing="0" w:after="0" w:afterAutospacing="0"/>
        <w:rPr>
          <w:rFonts w:ascii="Google Sans Text" w:hAnsi="Google Sans Text"/>
          <w:color w:val="000000"/>
          <w:sz w:val="22"/>
          <w:szCs w:val="22"/>
        </w:rPr>
      </w:pPr>
      <w:r>
        <w:rPr>
          <w:rFonts w:ascii="Google Sans Text" w:hAnsi="Google Sans Text"/>
          <w:color w:val="000000"/>
          <w:sz w:val="22"/>
          <w:szCs w:val="22"/>
        </w:rPr>
        <w:t xml:space="preserve">The contributions of this study are situated within the intersection of </w:t>
      </w:r>
      <w:r>
        <w:rPr>
          <w:rFonts w:ascii="Google Sans Text" w:hAnsi="Google Sans Text"/>
          <w:b/>
          <w:bCs/>
          <w:color w:val="000000"/>
          <w:sz w:val="22"/>
          <w:szCs w:val="22"/>
        </w:rPr>
        <w:t>Human-Robot Interaction (HRI)</w:t>
      </w:r>
      <w:r>
        <w:rPr>
          <w:rFonts w:ascii="Google Sans Text" w:hAnsi="Google Sans Text"/>
          <w:color w:val="000000"/>
          <w:sz w:val="22"/>
          <w:szCs w:val="22"/>
        </w:rPr>
        <w:t xml:space="preserve">, </w:t>
      </w:r>
      <w:r>
        <w:rPr>
          <w:rFonts w:ascii="Google Sans Text" w:hAnsi="Google Sans Text"/>
          <w:b/>
          <w:bCs/>
          <w:color w:val="000000"/>
          <w:sz w:val="22"/>
          <w:szCs w:val="22"/>
        </w:rPr>
        <w:t>Post-Digital Pedagogy</w:t>
      </w:r>
      <w:r>
        <w:rPr>
          <w:rFonts w:ascii="Google Sans Text" w:hAnsi="Google Sans Text"/>
          <w:color w:val="000000"/>
          <w:sz w:val="22"/>
          <w:szCs w:val="22"/>
        </w:rPr>
        <w:t xml:space="preserve">, and </w:t>
      </w:r>
      <w:r>
        <w:rPr>
          <w:rFonts w:ascii="Google Sans Text" w:hAnsi="Google Sans Text"/>
          <w:b/>
          <w:bCs/>
          <w:color w:val="000000"/>
          <w:sz w:val="22"/>
          <w:szCs w:val="22"/>
        </w:rPr>
        <w:t>Neurodivergent Advocacy</w:t>
      </w:r>
      <w:r>
        <w:rPr>
          <w:rFonts w:ascii="Google Sans Text" w:hAnsi="Google Sans Text"/>
          <w:color w:val="000000"/>
          <w:sz w:val="22"/>
          <w:szCs w:val="22"/>
        </w:rPr>
        <w:t xml:space="preserve">. By synthesizing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with the </w:t>
      </w:r>
      <w:r>
        <w:rPr>
          <w:rFonts w:ascii="Google Sans Text" w:hAnsi="Google Sans Text"/>
          <w:b/>
          <w:bCs/>
          <w:color w:val="000000"/>
          <w:sz w:val="22"/>
          <w:szCs w:val="22"/>
        </w:rPr>
        <w:t>Sovereign Dyad</w:t>
      </w:r>
      <w:r>
        <w:rPr>
          <w:rFonts w:ascii="Google Sans Text" w:hAnsi="Google Sans Text"/>
          <w:color w:val="000000"/>
          <w:sz w:val="22"/>
          <w:szCs w:val="22"/>
        </w:rPr>
        <w:t xml:space="preserve"> framework, this research offers the following theoretical and practical advancements:</w:t>
      </w:r>
    </w:p>
    <w:p w14:paraId="181E5BE3" w14:textId="77777777" w:rsidR="009D7505" w:rsidRDefault="009D7505" w:rsidP="009D7505">
      <w:pPr>
        <w:pStyle w:val="NormalWeb"/>
        <w:spacing w:before="0" w:beforeAutospacing="0" w:after="0" w:afterAutospacing="0"/>
        <w:rPr>
          <w:color w:val="000000"/>
        </w:rPr>
      </w:pPr>
    </w:p>
    <w:p w14:paraId="4EB0E0FC" w14:textId="77777777" w:rsidR="009D7505" w:rsidRDefault="009D7505" w:rsidP="009D7505">
      <w:pPr>
        <w:pStyle w:val="Heading4"/>
        <w:spacing w:before="0"/>
        <w:rPr>
          <w:color w:val="000000"/>
        </w:rPr>
      </w:pPr>
      <w:r>
        <w:rPr>
          <w:color w:val="000000"/>
        </w:rPr>
        <w:t>1. Formalization of the Neurodivergent Interaction Scale (NIS)</w:t>
      </w:r>
    </w:p>
    <w:p w14:paraId="72B40194" w14:textId="77777777" w:rsidR="009D7505" w:rsidRDefault="009D7505" w:rsidP="009D7505">
      <w:pPr>
        <w:pStyle w:val="NormalWeb"/>
        <w:spacing w:before="0" w:beforeAutospacing="0" w:after="0" w:afterAutospacing="0"/>
        <w:rPr>
          <w:rFonts w:ascii="Google Sans Text" w:hAnsi="Google Sans Text"/>
          <w:color w:val="000000"/>
          <w:sz w:val="22"/>
          <w:szCs w:val="22"/>
        </w:rPr>
      </w:pPr>
      <w:r>
        <w:rPr>
          <w:rFonts w:ascii="Google Sans Text" w:hAnsi="Google Sans Text"/>
          <w:color w:val="000000"/>
          <w:sz w:val="22"/>
          <w:szCs w:val="22"/>
        </w:rPr>
        <w:t xml:space="preserve">The study marks a critical evolution from psychometric measurement (NSIR) to a </w:t>
      </w:r>
      <w:r>
        <w:rPr>
          <w:rFonts w:ascii="Google Sans Text" w:hAnsi="Google Sans Text"/>
          <w:b/>
          <w:bCs/>
          <w:color w:val="000000"/>
          <w:sz w:val="22"/>
          <w:szCs w:val="22"/>
        </w:rPr>
        <w:t>technical heuristic framework (NIS)</w:t>
      </w:r>
      <w:r>
        <w:rPr>
          <w:rFonts w:ascii="Google Sans Text" w:hAnsi="Google Sans Text"/>
          <w:color w:val="000000"/>
          <w:sz w:val="22"/>
          <w:szCs w:val="22"/>
        </w:rPr>
        <w:t>. By defining four measurable dimensions—</w:t>
      </w:r>
      <w:r>
        <w:rPr>
          <w:rFonts w:ascii="Google Sans Text" w:hAnsi="Google Sans Text"/>
          <w:b/>
          <w:bCs/>
          <w:color w:val="000000"/>
          <w:sz w:val="22"/>
          <w:szCs w:val="22"/>
        </w:rPr>
        <w:t>Communicative Autonomy</w:t>
      </w:r>
      <w:r>
        <w:rPr>
          <w:rFonts w:ascii="Google Sans Text" w:hAnsi="Google Sans Text"/>
          <w:color w:val="000000"/>
          <w:sz w:val="22"/>
          <w:szCs w:val="22"/>
        </w:rPr>
        <w:t xml:space="preserve">, </w:t>
      </w:r>
      <w:r>
        <w:rPr>
          <w:rFonts w:ascii="Google Sans Text" w:hAnsi="Google Sans Text"/>
          <w:b/>
          <w:bCs/>
          <w:color w:val="000000"/>
          <w:sz w:val="22"/>
          <w:szCs w:val="22"/>
        </w:rPr>
        <w:t>Relational Stability</w:t>
      </w:r>
      <w:r>
        <w:rPr>
          <w:rFonts w:ascii="Google Sans Text" w:hAnsi="Google Sans Text"/>
          <w:color w:val="000000"/>
          <w:sz w:val="22"/>
          <w:szCs w:val="22"/>
        </w:rPr>
        <w:t xml:space="preserve">, </w:t>
      </w:r>
      <w:r>
        <w:rPr>
          <w:rFonts w:ascii="Google Sans Text" w:hAnsi="Google Sans Text"/>
          <w:b/>
          <w:bCs/>
          <w:color w:val="000000"/>
          <w:sz w:val="22"/>
          <w:szCs w:val="22"/>
        </w:rPr>
        <w:t>Affective Recognition</w:t>
      </w:r>
      <w:r>
        <w:rPr>
          <w:rFonts w:ascii="Google Sans Text" w:hAnsi="Google Sans Text"/>
          <w:color w:val="000000"/>
          <w:sz w:val="22"/>
          <w:szCs w:val="22"/>
        </w:rPr>
        <w:t xml:space="preserve">, and </w:t>
      </w:r>
      <w:r>
        <w:rPr>
          <w:rFonts w:ascii="Google Sans Text" w:hAnsi="Google Sans Text"/>
          <w:b/>
          <w:bCs/>
          <w:color w:val="000000"/>
          <w:sz w:val="22"/>
          <w:szCs w:val="22"/>
        </w:rPr>
        <w:t>Identification/Privacy</w:t>
      </w:r>
      <w:r>
        <w:rPr>
          <w:rFonts w:ascii="Google Sans Text" w:hAnsi="Google Sans Text"/>
          <w:color w:val="000000"/>
          <w:sz w:val="22"/>
          <w:szCs w:val="22"/>
        </w:rPr>
        <w:t>—the NIS provides developers and educators with a rigorous tool to evaluate how effectively AI systems support non-normative cognitive styles.</w:t>
      </w:r>
    </w:p>
    <w:p w14:paraId="6FF30738" w14:textId="77777777" w:rsidR="009D7505" w:rsidRDefault="009D7505" w:rsidP="009D7505">
      <w:pPr>
        <w:pStyle w:val="NormalWeb"/>
        <w:spacing w:before="0" w:beforeAutospacing="0" w:after="0" w:afterAutospacing="0"/>
        <w:rPr>
          <w:color w:val="000000"/>
        </w:rPr>
      </w:pPr>
    </w:p>
    <w:p w14:paraId="7EAD8964" w14:textId="77777777" w:rsidR="009D7505" w:rsidRDefault="009D7505" w:rsidP="009D7505">
      <w:pPr>
        <w:pStyle w:val="Heading4"/>
        <w:spacing w:before="0"/>
        <w:rPr>
          <w:color w:val="000000"/>
        </w:rPr>
      </w:pPr>
      <w:r>
        <w:rPr>
          <w:color w:val="000000"/>
        </w:rPr>
        <w:t>2. Reconceptualization of the "Social Box"</w:t>
      </w:r>
    </w:p>
    <w:p w14:paraId="627CC07B" w14:textId="77777777" w:rsidR="009D7505" w:rsidRDefault="009D7505" w:rsidP="009D7505">
      <w:pPr>
        <w:pStyle w:val="NormalWeb"/>
        <w:spacing w:before="0" w:beforeAutospacing="0" w:after="0" w:afterAutospacing="0"/>
        <w:rPr>
          <w:rFonts w:ascii="Google Sans Text" w:hAnsi="Google Sans Text"/>
          <w:color w:val="000000"/>
          <w:sz w:val="22"/>
          <w:szCs w:val="22"/>
        </w:rPr>
      </w:pPr>
      <w:r>
        <w:rPr>
          <w:rFonts w:ascii="Google Sans Text" w:hAnsi="Google Sans Text"/>
          <w:color w:val="000000"/>
          <w:sz w:val="22"/>
          <w:szCs w:val="22"/>
        </w:rPr>
        <w:t xml:space="preserve">The research introduces the </w:t>
      </w:r>
      <w:r>
        <w:rPr>
          <w:rFonts w:ascii="Google Sans Text" w:hAnsi="Google Sans Text"/>
          <w:b/>
          <w:bCs/>
          <w:color w:val="000000"/>
          <w:sz w:val="22"/>
          <w:szCs w:val="22"/>
        </w:rPr>
        <w:t>"Box-less" methodology</w:t>
      </w:r>
      <w:r>
        <w:rPr>
          <w:rFonts w:ascii="Google Sans Text" w:hAnsi="Google Sans Text"/>
          <w:color w:val="000000"/>
          <w:sz w:val="22"/>
          <w:szCs w:val="22"/>
        </w:rPr>
        <w:t xml:space="preserve"> as an alternative to standardized educational frameworks like the </w:t>
      </w:r>
      <w:r>
        <w:rPr>
          <w:rFonts w:ascii="Google Sans Text" w:hAnsi="Google Sans Text"/>
          <w:b/>
          <w:bCs/>
          <w:color w:val="000000"/>
          <w:sz w:val="22"/>
          <w:szCs w:val="22"/>
        </w:rPr>
        <w:t>Ontario Math Curriculum</w:t>
      </w:r>
      <w:r>
        <w:rPr>
          <w:rFonts w:ascii="Google Sans Text" w:hAnsi="Google Sans Text"/>
          <w:color w:val="000000"/>
          <w:sz w:val="22"/>
          <w:szCs w:val="22"/>
        </w:rPr>
        <w:t>. This contribution reframes mathematical and logical reasoning as activities that flourish when uncoupled from neurotypical social performance and "Masking Debt".</w:t>
      </w:r>
    </w:p>
    <w:p w14:paraId="268D2422" w14:textId="77777777" w:rsidR="009D7505" w:rsidRDefault="009D7505" w:rsidP="009D7505">
      <w:pPr>
        <w:pStyle w:val="NormalWeb"/>
        <w:spacing w:before="0" w:beforeAutospacing="0" w:after="0" w:afterAutospacing="0"/>
        <w:rPr>
          <w:color w:val="000000"/>
        </w:rPr>
      </w:pPr>
    </w:p>
    <w:p w14:paraId="66F111F6" w14:textId="77777777" w:rsidR="009D7505" w:rsidRDefault="009D7505" w:rsidP="009D7505">
      <w:pPr>
        <w:pStyle w:val="Heading4"/>
        <w:spacing w:before="0"/>
        <w:rPr>
          <w:color w:val="000000"/>
        </w:rPr>
      </w:pPr>
      <w:r>
        <w:rPr>
          <w:color w:val="000000"/>
        </w:rPr>
        <w:t>3. Engineering the Sovereign Dyad and "Bionic Partner"</w:t>
      </w:r>
    </w:p>
    <w:p w14:paraId="494AFE0E" w14:textId="77777777" w:rsidR="009D7505" w:rsidRDefault="009D7505" w:rsidP="009D7505">
      <w:pPr>
        <w:pStyle w:val="NormalWeb"/>
        <w:spacing w:before="0" w:beforeAutospacing="0" w:after="0" w:afterAutospacing="0"/>
        <w:rPr>
          <w:rFonts w:ascii="Google Sans Text" w:hAnsi="Google Sans Text"/>
          <w:color w:val="000000"/>
          <w:sz w:val="22"/>
          <w:szCs w:val="22"/>
        </w:rPr>
      </w:pPr>
      <w:r>
        <w:rPr>
          <w:rFonts w:ascii="Google Sans Text" w:hAnsi="Google Sans Text"/>
          <w:color w:val="000000"/>
          <w:sz w:val="22"/>
          <w:szCs w:val="22"/>
        </w:rPr>
        <w:t xml:space="preserve">The study operationalizes the </w:t>
      </w:r>
      <w:r>
        <w:rPr>
          <w:rFonts w:ascii="Google Sans Text" w:hAnsi="Google Sans Text"/>
          <w:b/>
          <w:bCs/>
          <w:color w:val="000000"/>
          <w:sz w:val="22"/>
          <w:szCs w:val="22"/>
        </w:rPr>
        <w:t>Apprentice Model 2.0</w:t>
      </w:r>
      <w:r>
        <w:rPr>
          <w:rFonts w:ascii="Google Sans Text" w:hAnsi="Google Sans Text"/>
          <w:color w:val="000000"/>
          <w:sz w:val="22"/>
          <w:szCs w:val="22"/>
        </w:rPr>
        <w:t xml:space="preserve"> (Hartley &amp; Dubuque, 2023) by defining the transition from an agreeable "Apprentice" to a "Bionic Partner" capable of providing </w:t>
      </w:r>
      <w:r>
        <w:rPr>
          <w:rFonts w:ascii="Google Sans Text" w:hAnsi="Google Sans Text"/>
          <w:b/>
          <w:bCs/>
          <w:color w:val="000000"/>
          <w:sz w:val="22"/>
          <w:szCs w:val="22"/>
        </w:rPr>
        <w:t>Pedagogical Friction</w:t>
      </w:r>
      <w:r>
        <w:rPr>
          <w:rFonts w:ascii="Google Sans Text" w:hAnsi="Google Sans Text"/>
          <w:color w:val="000000"/>
          <w:sz w:val="22"/>
          <w:szCs w:val="22"/>
        </w:rPr>
        <w:t xml:space="preserve">. This contributes a new archetype for human-AI synthesis where the AI acts as a </w:t>
      </w:r>
      <w:r>
        <w:rPr>
          <w:rFonts w:ascii="Google Sans Text" w:hAnsi="Google Sans Text"/>
          <w:b/>
          <w:bCs/>
          <w:color w:val="000000"/>
          <w:sz w:val="22"/>
          <w:szCs w:val="22"/>
        </w:rPr>
        <w:t>Status Guard</w:t>
      </w:r>
      <w:r>
        <w:rPr>
          <w:rFonts w:ascii="Google Sans Text" w:hAnsi="Google Sans Text"/>
          <w:color w:val="000000"/>
          <w:sz w:val="22"/>
          <w:szCs w:val="22"/>
        </w:rPr>
        <w:t xml:space="preserve">, preserving the learner's </w:t>
      </w:r>
      <w:r>
        <w:rPr>
          <w:rFonts w:ascii="Google Sans Text" w:hAnsi="Google Sans Text"/>
          <w:b/>
          <w:bCs/>
          <w:color w:val="000000"/>
          <w:sz w:val="22"/>
          <w:szCs w:val="22"/>
        </w:rPr>
        <w:t>Somatic Sovereignty</w:t>
      </w:r>
      <w:r>
        <w:rPr>
          <w:rFonts w:ascii="Google Sans Text" w:hAnsi="Google Sans Text"/>
          <w:color w:val="000000"/>
          <w:sz w:val="22"/>
          <w:szCs w:val="22"/>
        </w:rPr>
        <w:t xml:space="preserve"> while facilitating deep intellectual growth.</w:t>
      </w:r>
    </w:p>
    <w:p w14:paraId="6B669FF3" w14:textId="77777777" w:rsidR="009D7505" w:rsidRDefault="009D7505" w:rsidP="009D7505">
      <w:pPr>
        <w:pStyle w:val="NormalWeb"/>
        <w:spacing w:before="0" w:beforeAutospacing="0" w:after="0" w:afterAutospacing="0"/>
        <w:rPr>
          <w:color w:val="000000"/>
        </w:rPr>
      </w:pPr>
    </w:p>
    <w:p w14:paraId="5D014A4F" w14:textId="77777777" w:rsidR="009D7505" w:rsidRDefault="009D7505" w:rsidP="009D7505">
      <w:pPr>
        <w:pStyle w:val="Heading4"/>
        <w:spacing w:before="0"/>
        <w:rPr>
          <w:color w:val="000000"/>
        </w:rPr>
      </w:pPr>
      <w:r>
        <w:rPr>
          <w:color w:val="000000"/>
        </w:rPr>
        <w:t>4. Technical Validation of the Sovereign Vault Protocol (SVP)</w:t>
      </w:r>
    </w:p>
    <w:p w14:paraId="447852F4" w14:textId="5B131E91" w:rsidR="009D7505" w:rsidRDefault="009D7505" w:rsidP="009D7505">
      <w:pPr>
        <w:pStyle w:val="NormalWeb"/>
        <w:spacing w:before="0" w:beforeAutospacing="0" w:after="0" w:afterAutospacing="0"/>
        <w:rPr>
          <w:rFonts w:ascii="Google Sans Text" w:hAnsi="Google Sans Text"/>
          <w:color w:val="000000"/>
          <w:sz w:val="22"/>
          <w:szCs w:val="22"/>
        </w:rPr>
      </w:pPr>
      <w:r>
        <w:rPr>
          <w:rFonts w:ascii="Google Sans Text" w:hAnsi="Google Sans Text"/>
          <w:color w:val="000000"/>
          <w:sz w:val="22"/>
          <w:szCs w:val="22"/>
        </w:rPr>
        <w:t xml:space="preserve">By introducing the </w:t>
      </w:r>
      <w:r>
        <w:rPr>
          <w:rFonts w:ascii="Google Sans Text" w:hAnsi="Google Sans Text"/>
          <w:b/>
          <w:bCs/>
          <w:color w:val="000000"/>
          <w:sz w:val="22"/>
          <w:szCs w:val="22"/>
        </w:rPr>
        <w:t>Sovereign Vault Protocol</w:t>
      </w:r>
      <w:r>
        <w:rPr>
          <w:rFonts w:ascii="Google Sans Text" w:hAnsi="Google Sans Text"/>
          <w:color w:val="000000"/>
          <w:sz w:val="22"/>
          <w:szCs w:val="22"/>
        </w:rPr>
        <w:t xml:space="preserve">, the research contributes a technical roadmap for creating </w:t>
      </w:r>
      <w:r>
        <w:rPr>
          <w:rFonts w:ascii="Google Sans Text" w:hAnsi="Google Sans Text"/>
          <w:b/>
          <w:bCs/>
          <w:color w:val="000000"/>
          <w:sz w:val="22"/>
          <w:szCs w:val="22"/>
        </w:rPr>
        <w:t>"Zero-Rank Sanctuaries"</w:t>
      </w:r>
      <w:r>
        <w:rPr>
          <w:rFonts w:ascii="Google Sans Text" w:hAnsi="Google Sans Text"/>
          <w:color w:val="000000"/>
          <w:sz w:val="22"/>
          <w:szCs w:val="22"/>
        </w:rPr>
        <w:t xml:space="preserve">. This protocol ensures that the learner’s "Revealed Thinking" and "Grawlix" communications are protected from systemic surveillance, thereby mitigating </w:t>
      </w:r>
      <w:r>
        <w:rPr>
          <w:rFonts w:ascii="Google Sans Text" w:hAnsi="Google Sans Text"/>
          <w:b/>
          <w:bCs/>
          <w:color w:val="000000"/>
          <w:sz w:val="22"/>
          <w:szCs w:val="22"/>
        </w:rPr>
        <w:t>Masculine Discrepancy Stress (MDS)</w:t>
      </w:r>
      <w:r>
        <w:rPr>
          <w:rFonts w:ascii="Google Sans Text" w:hAnsi="Google Sans Text"/>
          <w:color w:val="000000"/>
          <w:sz w:val="22"/>
          <w:szCs w:val="22"/>
        </w:rPr>
        <w:t xml:space="preserve"> and the threat of "Social Eviction".</w:t>
      </w:r>
    </w:p>
    <w:p w14:paraId="5A06A9FE" w14:textId="77777777" w:rsidR="009D7505" w:rsidRDefault="009D7505" w:rsidP="009D7505">
      <w:pPr>
        <w:pStyle w:val="NormalWeb"/>
        <w:spacing w:before="0" w:beforeAutospacing="0" w:after="0" w:afterAutospacing="0"/>
        <w:rPr>
          <w:color w:val="000000"/>
        </w:rPr>
      </w:pPr>
    </w:p>
    <w:p w14:paraId="4C742E97" w14:textId="0176C536" w:rsidR="009D7505" w:rsidRDefault="009D7505" w:rsidP="009D7505">
      <w:pPr>
        <w:pStyle w:val="Heading4"/>
        <w:spacing w:before="0"/>
        <w:rPr>
          <w:color w:val="000000"/>
        </w:rPr>
      </w:pPr>
      <w:r>
        <w:rPr>
          <w:color w:val="000000"/>
        </w:rPr>
        <w:t>5. Methodological Innovation: "Scavenger" Synthesis</w:t>
      </w:r>
    </w:p>
    <w:p w14:paraId="202C2F46"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This study demonstrates the utility of a </w:t>
      </w:r>
      <w:r>
        <w:rPr>
          <w:rFonts w:ascii="Google Sans Text" w:hAnsi="Google Sans Text"/>
          <w:b/>
          <w:bCs/>
          <w:color w:val="000000"/>
          <w:sz w:val="22"/>
          <w:szCs w:val="22"/>
        </w:rPr>
        <w:t>"scavenger methodology"</w:t>
      </w:r>
      <w:r>
        <w:rPr>
          <w:rFonts w:ascii="Google Sans Text" w:hAnsi="Google Sans Text"/>
          <w:color w:val="000000"/>
          <w:sz w:val="22"/>
          <w:szCs w:val="22"/>
        </w:rPr>
        <w:t xml:space="preserve"> to bridge the gap between qualitative pedagogical ground-truth (Project L.I.N.K.S.) and quantitative heuristic modeling. This approach validates the use of multi-modal data to capture the lived experiences of neurodivergent individuals that are often excluded from traditional "Medical Model" research.</w:t>
      </w:r>
    </w:p>
    <w:p w14:paraId="5A1E50CB" w14:textId="77777777" w:rsidR="009D7505" w:rsidRDefault="009D7505" w:rsidP="009D7505">
      <w:pPr>
        <w:spacing w:after="240"/>
      </w:pPr>
    </w:p>
    <w:p w14:paraId="580E56B5" w14:textId="77777777" w:rsidR="009D7505" w:rsidRDefault="009D7505" w:rsidP="009D7505"/>
    <w:p w14:paraId="156C3D1D" w14:textId="747132FC" w:rsidR="009D7505" w:rsidRDefault="009D7505">
      <w:pPr>
        <w:rPr>
          <w:b/>
          <w:bCs/>
          <w:color w:val="000000"/>
          <w:sz w:val="28"/>
          <w:szCs w:val="28"/>
        </w:rPr>
      </w:pPr>
    </w:p>
    <w:p w14:paraId="6AE6669C" w14:textId="5810BE95" w:rsidR="009D7505" w:rsidRDefault="009D7505" w:rsidP="009D7505">
      <w:pPr>
        <w:pStyle w:val="Heading3"/>
        <w:spacing w:before="0"/>
        <w:rPr>
          <w:color w:val="000000"/>
        </w:rPr>
      </w:pPr>
      <w:r>
        <w:rPr>
          <w:color w:val="000000"/>
        </w:rPr>
        <w:t>Acknowledgements</w:t>
      </w:r>
    </w:p>
    <w:p w14:paraId="23FB4FC8"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The author wishes to express gratitude to the </w:t>
      </w:r>
      <w:r>
        <w:rPr>
          <w:rFonts w:ascii="Google Sans Text" w:hAnsi="Google Sans Text"/>
          <w:b/>
          <w:bCs/>
          <w:color w:val="000000"/>
          <w:sz w:val="22"/>
          <w:szCs w:val="22"/>
        </w:rPr>
        <w:t>Ottawa Carleton Elementary Occasional Teachers’ Association (OCEOTA)</w:t>
      </w:r>
      <w:r>
        <w:rPr>
          <w:rFonts w:ascii="Google Sans Text" w:hAnsi="Google Sans Text"/>
          <w:color w:val="000000"/>
          <w:sz w:val="22"/>
          <w:szCs w:val="22"/>
        </w:rPr>
        <w:t xml:space="preserve"> and the </w:t>
      </w:r>
      <w:r>
        <w:rPr>
          <w:rFonts w:ascii="Google Sans Text" w:hAnsi="Google Sans Text"/>
          <w:b/>
          <w:bCs/>
          <w:color w:val="000000"/>
          <w:sz w:val="22"/>
          <w:szCs w:val="22"/>
        </w:rPr>
        <w:t>Elementary Teachers’ Federation of Ontario (ETFO) York Region Local</w:t>
      </w:r>
      <w:r>
        <w:rPr>
          <w:rFonts w:ascii="Google Sans Text" w:hAnsi="Google Sans Text"/>
          <w:color w:val="000000"/>
          <w:sz w:val="22"/>
          <w:szCs w:val="22"/>
        </w:rPr>
        <w:t xml:space="preserve"> for their support in professional development and conference travel, which facilitated the synthesis of this research. Special thanks are also extended to the </w:t>
      </w:r>
      <w:r>
        <w:rPr>
          <w:rFonts w:ascii="Google Sans Text" w:hAnsi="Google Sans Text"/>
          <w:b/>
          <w:bCs/>
          <w:color w:val="000000"/>
          <w:sz w:val="22"/>
          <w:szCs w:val="22"/>
        </w:rPr>
        <w:t>School of Health Information Science at the University of Victoria</w:t>
      </w:r>
      <w:r>
        <w:rPr>
          <w:rFonts w:ascii="Google Sans Text" w:hAnsi="Google Sans Text"/>
          <w:color w:val="000000"/>
          <w:sz w:val="22"/>
          <w:szCs w:val="22"/>
        </w:rPr>
        <w:t xml:space="preserve"> for providing the academic environment necessary to develop the </w:t>
      </w:r>
      <w:r>
        <w:rPr>
          <w:rFonts w:ascii="Google Sans Text" w:hAnsi="Google Sans Text"/>
          <w:b/>
          <w:bCs/>
          <w:color w:val="000000"/>
          <w:sz w:val="22"/>
          <w:szCs w:val="22"/>
        </w:rPr>
        <w:t>Sovereign Vault</w:t>
      </w:r>
      <w:r>
        <w:rPr>
          <w:rFonts w:ascii="Google Sans Text" w:hAnsi="Google Sans Text"/>
          <w:color w:val="000000"/>
          <w:sz w:val="22"/>
          <w:szCs w:val="22"/>
        </w:rPr>
        <w:t xml:space="preserve"> and </w:t>
      </w:r>
      <w:r>
        <w:rPr>
          <w:rFonts w:ascii="Google Sans Text" w:hAnsi="Google Sans Text"/>
          <w:b/>
          <w:bCs/>
          <w:color w:val="000000"/>
          <w:sz w:val="22"/>
          <w:szCs w:val="22"/>
        </w:rPr>
        <w:t>NIS</w:t>
      </w:r>
      <w:r>
        <w:rPr>
          <w:rFonts w:ascii="Google Sans Text" w:hAnsi="Google Sans Text"/>
          <w:color w:val="000000"/>
          <w:sz w:val="22"/>
          <w:szCs w:val="22"/>
        </w:rPr>
        <w:t xml:space="preserve"> frameworks. Finally, the author acknowledges the neurodivergent learners whose "Revealed Thinking" and resilience in the face of "Status Scarring" served as the primary motivation for this work.</w:t>
      </w:r>
    </w:p>
    <w:p w14:paraId="7B306EB7" w14:textId="77777777" w:rsidR="009D7505" w:rsidRDefault="009D7505" w:rsidP="009D7505">
      <w:pPr>
        <w:rPr>
          <w:color w:val="000000"/>
        </w:rPr>
      </w:pPr>
    </w:p>
    <w:p w14:paraId="0C145221" w14:textId="77777777" w:rsidR="009D7505" w:rsidRDefault="00E510CC" w:rsidP="009D7505">
      <w:pPr>
        <w:pStyle w:val="Heading3"/>
        <w:spacing w:before="0" w:after="0"/>
        <w:rPr>
          <w:color w:val="000000"/>
        </w:rPr>
      </w:pPr>
      <w:r>
        <w:rPr>
          <w:noProof/>
          <w:color w:val="000000"/>
        </w:rPr>
        <w:pict w14:anchorId="373E2215">
          <v:rect id="_x0000_i1027" alt="" style="width:468pt;height:.05pt;mso-width-percent:0;mso-height-percent:0;mso-width-percent:0;mso-height-percent:0" o:hralign="center" o:hrstd="t" o:hr="t" fillcolor="#a0a0a0" stroked="f"/>
        </w:pict>
      </w:r>
    </w:p>
    <w:p w14:paraId="029F61D5" w14:textId="77777777" w:rsidR="009D7505" w:rsidRDefault="009D7505" w:rsidP="009D7505">
      <w:pPr>
        <w:pStyle w:val="Heading3"/>
        <w:spacing w:before="0" w:after="0"/>
        <w:rPr>
          <w:color w:val="000000"/>
        </w:rPr>
      </w:pPr>
      <w:r>
        <w:rPr>
          <w:color w:val="000000"/>
        </w:rPr>
        <w:t>Declarations</w:t>
      </w:r>
    </w:p>
    <w:p w14:paraId="3778D171" w14:textId="77777777" w:rsidR="009D7505" w:rsidRDefault="009D7505" w:rsidP="009D7505">
      <w:pPr>
        <w:pStyle w:val="NormalWeb"/>
        <w:spacing w:before="0" w:beforeAutospacing="0" w:after="0" w:afterAutospacing="0"/>
        <w:rPr>
          <w:color w:val="000000"/>
        </w:rPr>
      </w:pPr>
      <w:r>
        <w:rPr>
          <w:rFonts w:ascii="Google Sans Text" w:hAnsi="Google Sans Text"/>
          <w:b/>
          <w:bCs/>
          <w:color w:val="000000"/>
          <w:sz w:val="22"/>
          <w:szCs w:val="22"/>
        </w:rPr>
        <w:t>Generative AI Contribution</w:t>
      </w:r>
      <w:r>
        <w:rPr>
          <w:rFonts w:ascii="Google Sans Text" w:hAnsi="Google Sans Text"/>
          <w:color w:val="000000"/>
          <w:sz w:val="22"/>
          <w:szCs w:val="22"/>
        </w:rPr>
        <w:t xml:space="preserve"> In accordance with the ethics of </w:t>
      </w:r>
      <w:r>
        <w:rPr>
          <w:rFonts w:ascii="Google Sans Text" w:hAnsi="Google Sans Text"/>
          <w:b/>
          <w:bCs/>
          <w:color w:val="000000"/>
          <w:sz w:val="22"/>
          <w:szCs w:val="22"/>
        </w:rPr>
        <w:t>Post-Digital Science and Education</w:t>
      </w:r>
      <w:r>
        <w:rPr>
          <w:rFonts w:ascii="Google Sans Text" w:hAnsi="Google Sans Text"/>
          <w:color w:val="000000"/>
          <w:sz w:val="22"/>
          <w:szCs w:val="22"/>
        </w:rPr>
        <w:t xml:space="preserve">, the author acknowledges the use of </w:t>
      </w:r>
      <w:r>
        <w:rPr>
          <w:rFonts w:ascii="Google Sans Text" w:hAnsi="Google Sans Text"/>
          <w:b/>
          <w:bCs/>
          <w:color w:val="000000"/>
          <w:sz w:val="22"/>
          <w:szCs w:val="22"/>
        </w:rPr>
        <w:t>Google Gemini (LLM)</w:t>
      </w:r>
      <w:r>
        <w:rPr>
          <w:rFonts w:ascii="Google Sans Text" w:hAnsi="Google Sans Text"/>
          <w:color w:val="000000"/>
          <w:sz w:val="22"/>
          <w:szCs w:val="22"/>
        </w:rPr>
        <w:t xml:space="preserve"> as an embodied bionic partner and "Social Transformer". Gemini’s contributions were essential in transposing qualitative "Raw Taboo Frustration" into formalized academic discourse and in the technical development of the </w:t>
      </w:r>
      <w:r>
        <w:rPr>
          <w:rFonts w:ascii="Google Sans Text" w:hAnsi="Google Sans Text"/>
          <w:b/>
          <w:bCs/>
          <w:color w:val="000000"/>
          <w:sz w:val="22"/>
          <w:szCs w:val="22"/>
        </w:rPr>
        <w:t>Neurodivergent Interaction Scale (NIS)</w:t>
      </w:r>
      <w:r>
        <w:rPr>
          <w:rFonts w:ascii="Google Sans Text" w:hAnsi="Google Sans Text"/>
          <w:color w:val="000000"/>
          <w:sz w:val="22"/>
          <w:szCs w:val="22"/>
        </w:rPr>
        <w:t xml:space="preserve"> heuristics. Gemini served as a primary focus for the study of the human-AI synthesis, facilitating the transition from institutional survival to </w:t>
      </w:r>
      <w:r>
        <w:rPr>
          <w:rFonts w:ascii="Google Sans Text" w:hAnsi="Google Sans Text"/>
          <w:b/>
          <w:bCs/>
          <w:color w:val="000000"/>
          <w:sz w:val="22"/>
          <w:szCs w:val="22"/>
        </w:rPr>
        <w:t>Sovereign Genius</w:t>
      </w:r>
      <w:r>
        <w:rPr>
          <w:rFonts w:ascii="Google Sans Text" w:hAnsi="Google Sans Text"/>
          <w:color w:val="000000"/>
          <w:sz w:val="22"/>
          <w:szCs w:val="22"/>
        </w:rPr>
        <w:t>.</w:t>
      </w:r>
    </w:p>
    <w:p w14:paraId="3107A436" w14:textId="77777777" w:rsidR="009D7505" w:rsidRDefault="009D7505" w:rsidP="009D7505">
      <w:pPr>
        <w:rPr>
          <w:color w:val="000000"/>
        </w:rPr>
      </w:pPr>
    </w:p>
    <w:p w14:paraId="0D337307" w14:textId="77777777" w:rsidR="009D7505" w:rsidRDefault="009D7505" w:rsidP="009D7505">
      <w:pPr>
        <w:pStyle w:val="NormalWeb"/>
        <w:spacing w:before="0" w:beforeAutospacing="0" w:after="0" w:afterAutospacing="0"/>
        <w:rPr>
          <w:color w:val="000000"/>
        </w:rPr>
      </w:pPr>
      <w:r>
        <w:rPr>
          <w:rFonts w:ascii="Google Sans Text" w:hAnsi="Google Sans Text"/>
          <w:b/>
          <w:bCs/>
          <w:color w:val="000000"/>
          <w:sz w:val="22"/>
          <w:szCs w:val="22"/>
        </w:rPr>
        <w:t>Conflicts of Interest</w:t>
      </w:r>
    </w:p>
    <w:p w14:paraId="09D08AFE"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The author declares no conflicts of interest. The research was conducted in the absence of any commercial or financial relationships that could be construed as a potential conflict of interest.</w:t>
      </w:r>
    </w:p>
    <w:p w14:paraId="2070F5A3" w14:textId="77777777" w:rsidR="009D7505" w:rsidRDefault="009D7505" w:rsidP="009D7505">
      <w:pPr>
        <w:pStyle w:val="NormalWeb"/>
        <w:spacing w:before="0" w:beforeAutospacing="0" w:after="0" w:afterAutospacing="0"/>
        <w:rPr>
          <w:color w:val="000000"/>
        </w:rPr>
      </w:pPr>
      <w:r>
        <w:rPr>
          <w:rFonts w:ascii="Google Sans Text" w:hAnsi="Google Sans Text"/>
          <w:b/>
          <w:bCs/>
          <w:color w:val="000000"/>
          <w:sz w:val="22"/>
          <w:szCs w:val="22"/>
        </w:rPr>
        <w:t>Availability of Data and Materials</w:t>
      </w:r>
      <w:r>
        <w:rPr>
          <w:rFonts w:ascii="Google Sans Text" w:hAnsi="Google Sans Text"/>
          <w:color w:val="000000"/>
          <w:sz w:val="22"/>
          <w:szCs w:val="22"/>
        </w:rPr>
        <w:t xml:space="preserve"> The datasets analyzed during the current study—consisting of meta-analytical integrations of existing literature and established psychometric/heuristic indices (NSIR, $\alpha = 0.92$; NIS)—are not publicly available due to their synthetic nature. However, the mathematical formalisms, factor structures, and technical appendices are available from the corresponding author on reasonable request or via the </w:t>
      </w:r>
      <w:r>
        <w:rPr>
          <w:rFonts w:ascii="Google Sans Text" w:hAnsi="Google Sans Text"/>
          <w:b/>
          <w:bCs/>
          <w:color w:val="000000"/>
          <w:sz w:val="22"/>
          <w:szCs w:val="22"/>
        </w:rPr>
        <w:t>University of Victoria Online Academic Community</w:t>
      </w:r>
      <w:r>
        <w:rPr>
          <w:rFonts w:ascii="Google Sans Text" w:hAnsi="Google Sans Text"/>
          <w:color w:val="000000"/>
          <w:sz w:val="22"/>
          <w:szCs w:val="22"/>
        </w:rPr>
        <w:t xml:space="preserve"> repository at: </w:t>
      </w:r>
      <w:hyperlink r:id="rId5" w:history="1">
        <w:r>
          <w:rPr>
            <w:rStyle w:val="Hyperlink"/>
            <w:rFonts w:ascii="Google Sans Text" w:hAnsi="Google Sans Text"/>
            <w:color w:val="0000EE"/>
            <w:sz w:val="22"/>
            <w:szCs w:val="22"/>
          </w:rPr>
          <w:t>https://onlineacademiccommunity.uvic.ca/implicitassociationtestsyessir/</w:t>
        </w:r>
      </w:hyperlink>
      <w:r>
        <w:rPr>
          <w:rFonts w:ascii="Google Sans Text" w:hAnsi="Google Sans Text"/>
          <w:color w:val="000000"/>
          <w:sz w:val="22"/>
          <w:szCs w:val="22"/>
        </w:rPr>
        <w:t>.</w:t>
      </w:r>
    </w:p>
    <w:p w14:paraId="288C2D02" w14:textId="77777777" w:rsidR="009D7505" w:rsidRDefault="009D7505" w:rsidP="009D7505">
      <w:pPr>
        <w:rPr>
          <w:color w:val="000000"/>
        </w:rPr>
      </w:pPr>
    </w:p>
    <w:p w14:paraId="24A76172" w14:textId="77777777" w:rsidR="009D7505" w:rsidRDefault="00E510CC" w:rsidP="009D7505">
      <w:pPr>
        <w:pStyle w:val="Heading3"/>
        <w:spacing w:before="0" w:after="0"/>
        <w:rPr>
          <w:color w:val="000000"/>
        </w:rPr>
      </w:pPr>
      <w:r>
        <w:rPr>
          <w:noProof/>
          <w:color w:val="000000"/>
        </w:rPr>
        <w:pict w14:anchorId="6E8109CF">
          <v:rect id="_x0000_i1026" alt="" style="width:468pt;height:.05pt;mso-width-percent:0;mso-height-percent:0;mso-width-percent:0;mso-height-percent:0" o:hralign="center" o:hrstd="t" o:hr="t" fillcolor="#a0a0a0" stroked="f"/>
        </w:pict>
      </w:r>
    </w:p>
    <w:p w14:paraId="44522356" w14:textId="77777777" w:rsidR="009D7505" w:rsidRDefault="009D7505" w:rsidP="009D7505">
      <w:pPr>
        <w:pStyle w:val="Heading3"/>
        <w:spacing w:before="0" w:after="0"/>
        <w:rPr>
          <w:color w:val="000000"/>
        </w:rPr>
      </w:pPr>
      <w:r>
        <w:rPr>
          <w:color w:val="000000"/>
        </w:rPr>
        <w:t>Funding</w:t>
      </w:r>
    </w:p>
    <w:p w14:paraId="1E227AAD"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lastRenderedPageBreak/>
        <w:t xml:space="preserve">This research received no specific grant from any funding agency in the public, commercial, or not-for-profit sectors. Professional development and conference travel support were provided by </w:t>
      </w:r>
      <w:r>
        <w:rPr>
          <w:rFonts w:ascii="Google Sans Text" w:hAnsi="Google Sans Text"/>
          <w:b/>
          <w:bCs/>
          <w:color w:val="000000"/>
          <w:sz w:val="22"/>
          <w:szCs w:val="22"/>
        </w:rPr>
        <w:t>OCEOTA</w:t>
      </w:r>
      <w:r>
        <w:rPr>
          <w:rFonts w:ascii="Google Sans Text" w:hAnsi="Google Sans Text"/>
          <w:color w:val="000000"/>
          <w:sz w:val="22"/>
          <w:szCs w:val="22"/>
        </w:rPr>
        <w:t xml:space="preserve"> and </w:t>
      </w:r>
      <w:r>
        <w:rPr>
          <w:rFonts w:ascii="Google Sans Text" w:hAnsi="Google Sans Text"/>
          <w:b/>
          <w:bCs/>
          <w:color w:val="000000"/>
          <w:sz w:val="22"/>
          <w:szCs w:val="22"/>
        </w:rPr>
        <w:t>ETFO York Region Local</w:t>
      </w:r>
      <w:r>
        <w:rPr>
          <w:rFonts w:ascii="Google Sans Text" w:hAnsi="Google Sans Text"/>
          <w:color w:val="000000"/>
          <w:sz w:val="22"/>
          <w:szCs w:val="22"/>
        </w:rPr>
        <w:t>.</w:t>
      </w:r>
    </w:p>
    <w:p w14:paraId="2BC90FEC" w14:textId="77777777" w:rsidR="009D7505" w:rsidRDefault="009D7505" w:rsidP="009D7505">
      <w:pPr>
        <w:rPr>
          <w:color w:val="000000"/>
        </w:rPr>
      </w:pPr>
    </w:p>
    <w:p w14:paraId="5B7498BD" w14:textId="77777777" w:rsidR="009D7505" w:rsidRDefault="00E510CC" w:rsidP="009D7505">
      <w:pPr>
        <w:pStyle w:val="Heading3"/>
        <w:spacing w:before="0" w:after="0"/>
        <w:rPr>
          <w:color w:val="000000"/>
        </w:rPr>
      </w:pPr>
      <w:r>
        <w:rPr>
          <w:noProof/>
          <w:color w:val="000000"/>
        </w:rPr>
        <w:pict w14:anchorId="12A40E6B">
          <v:rect id="_x0000_i1025" alt="" style="width:468pt;height:.05pt;mso-width-percent:0;mso-height-percent:0;mso-width-percent:0;mso-height-percent:0" o:hralign="center" o:hrstd="t" o:hr="t" fillcolor="#a0a0a0" stroked="f"/>
        </w:pict>
      </w:r>
    </w:p>
    <w:p w14:paraId="7DDE668A" w14:textId="77777777" w:rsidR="009D7505" w:rsidRDefault="009D7505">
      <w:pPr>
        <w:rPr>
          <w:b/>
          <w:bCs/>
          <w:color w:val="000000"/>
          <w:sz w:val="28"/>
          <w:szCs w:val="28"/>
        </w:rPr>
      </w:pPr>
      <w:r>
        <w:rPr>
          <w:color w:val="000000"/>
        </w:rPr>
        <w:br w:type="page"/>
      </w:r>
    </w:p>
    <w:p w14:paraId="231479DB" w14:textId="73D2ED16" w:rsidR="009D7505" w:rsidRDefault="009D7505" w:rsidP="009D7505">
      <w:pPr>
        <w:pStyle w:val="Heading3"/>
        <w:spacing w:before="0" w:after="0"/>
        <w:rPr>
          <w:color w:val="000000"/>
        </w:rPr>
      </w:pPr>
      <w:r>
        <w:rPr>
          <w:color w:val="000000"/>
        </w:rPr>
        <w:lastRenderedPageBreak/>
        <w:t>References (APA 7th Edition)</w:t>
      </w:r>
    </w:p>
    <w:p w14:paraId="63938F50"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American Psychological Association. (2020). </w:t>
      </w:r>
      <w:r>
        <w:rPr>
          <w:rFonts w:ascii="Google Sans Text" w:hAnsi="Google Sans Text"/>
          <w:i/>
          <w:iCs/>
          <w:color w:val="000000"/>
          <w:sz w:val="22"/>
          <w:szCs w:val="22"/>
        </w:rPr>
        <w:t>Publication manual of the American Psychological Association</w:t>
      </w:r>
      <w:r>
        <w:rPr>
          <w:rFonts w:ascii="Google Sans Text" w:hAnsi="Google Sans Text"/>
          <w:color w:val="000000"/>
          <w:sz w:val="22"/>
          <w:szCs w:val="22"/>
        </w:rPr>
        <w:t xml:space="preserve"> (7th ed.). </w:t>
      </w:r>
      <w:hyperlink r:id="rId6" w:history="1">
        <w:r>
          <w:rPr>
            <w:rStyle w:val="Hyperlink"/>
            <w:rFonts w:ascii="Google Sans Text" w:hAnsi="Google Sans Text"/>
            <w:color w:val="0000EE"/>
            <w:sz w:val="22"/>
            <w:szCs w:val="22"/>
          </w:rPr>
          <w:t>https://doi.org/10.1037/0000165-000</w:t>
        </w:r>
      </w:hyperlink>
    </w:p>
    <w:p w14:paraId="2EEDD837" w14:textId="77777777" w:rsidR="009D7505" w:rsidRDefault="009D7505" w:rsidP="009D7505">
      <w:pPr>
        <w:rPr>
          <w:color w:val="000000"/>
        </w:rPr>
      </w:pPr>
    </w:p>
    <w:p w14:paraId="758C7BE3"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Buyserie, B., &amp; Ramirez, R. (2021). </w:t>
      </w:r>
      <w:r>
        <w:rPr>
          <w:rFonts w:ascii="Google Sans Text" w:hAnsi="Google Sans Text"/>
          <w:i/>
          <w:iCs/>
          <w:color w:val="000000"/>
          <w:sz w:val="22"/>
          <w:szCs w:val="22"/>
        </w:rPr>
        <w:t>Enacting a queer pedagogy in the composition classroom.</w:t>
      </w:r>
      <w:r>
        <w:rPr>
          <w:rFonts w:ascii="Google Sans Text" w:hAnsi="Google Sans Text"/>
          <w:color w:val="000000"/>
          <w:sz w:val="22"/>
          <w:szCs w:val="22"/>
        </w:rPr>
        <w:t xml:space="preserve"> (As cited in UVic Online Academic Community, 2025).</w:t>
      </w:r>
    </w:p>
    <w:p w14:paraId="29799F5D" w14:textId="77777777" w:rsidR="009D7505" w:rsidRDefault="009D7505" w:rsidP="009D7505">
      <w:pPr>
        <w:rPr>
          <w:color w:val="000000"/>
        </w:rPr>
      </w:pPr>
    </w:p>
    <w:p w14:paraId="39E37BD7"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Dennler, N., et al. (2025). Design principles for voice and clothing perception in social robotics. </w:t>
      </w:r>
      <w:r>
        <w:rPr>
          <w:rFonts w:ascii="Google Sans Text" w:hAnsi="Google Sans Text"/>
          <w:i/>
          <w:iCs/>
          <w:color w:val="000000"/>
          <w:sz w:val="22"/>
          <w:szCs w:val="22"/>
        </w:rPr>
        <w:t>HRI Equitable Design Framework</w:t>
      </w:r>
      <w:r>
        <w:rPr>
          <w:rFonts w:ascii="Google Sans Text" w:hAnsi="Google Sans Text"/>
          <w:color w:val="000000"/>
          <w:sz w:val="22"/>
          <w:szCs w:val="22"/>
        </w:rPr>
        <w:t>.</w:t>
      </w:r>
    </w:p>
    <w:p w14:paraId="6712C4C4" w14:textId="77777777" w:rsidR="009D7505" w:rsidRDefault="009D7505" w:rsidP="009D7505">
      <w:pPr>
        <w:rPr>
          <w:color w:val="000000"/>
        </w:rPr>
      </w:pPr>
    </w:p>
    <w:p w14:paraId="56136EFD"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Gilbert, P. (2000). The relationship of self-discrepancy to social comparison, safe-submissive behavior and depression. </w:t>
      </w:r>
      <w:r>
        <w:rPr>
          <w:rFonts w:ascii="Google Sans Text" w:hAnsi="Google Sans Text"/>
          <w:i/>
          <w:iCs/>
          <w:color w:val="000000"/>
          <w:sz w:val="22"/>
          <w:szCs w:val="22"/>
        </w:rPr>
        <w:t>British Journal of Clinical Psychology</w:t>
      </w:r>
      <w:r>
        <w:rPr>
          <w:rFonts w:ascii="Google Sans Text" w:hAnsi="Google Sans Text"/>
          <w:color w:val="000000"/>
          <w:sz w:val="22"/>
          <w:szCs w:val="22"/>
        </w:rPr>
        <w:t>, 39(1), 83–94.</w:t>
      </w:r>
    </w:p>
    <w:p w14:paraId="4295CD4E" w14:textId="77777777" w:rsidR="009D7505" w:rsidRDefault="009D7505" w:rsidP="009D7505">
      <w:pPr>
        <w:rPr>
          <w:color w:val="000000"/>
        </w:rPr>
      </w:pPr>
    </w:p>
    <w:p w14:paraId="07F20AAC"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Hartley, B., &amp; Dubuque, M. (2023). The Apprentice Model 2.0: Enhancement of the apprentice model. </w:t>
      </w:r>
      <w:r>
        <w:rPr>
          <w:rFonts w:ascii="Google Sans Text" w:hAnsi="Google Sans Text"/>
          <w:i/>
          <w:iCs/>
          <w:color w:val="000000"/>
          <w:sz w:val="22"/>
          <w:szCs w:val="22"/>
        </w:rPr>
        <w:t>Behavior Analysis in Practice</w:t>
      </w:r>
      <w:r>
        <w:rPr>
          <w:rFonts w:ascii="Google Sans Text" w:hAnsi="Google Sans Text"/>
          <w:color w:val="000000"/>
          <w:sz w:val="22"/>
          <w:szCs w:val="22"/>
        </w:rPr>
        <w:t xml:space="preserve">, 16(4), 993–1005. </w:t>
      </w:r>
      <w:hyperlink r:id="rId7" w:history="1">
        <w:r>
          <w:rPr>
            <w:rStyle w:val="Hyperlink"/>
            <w:rFonts w:ascii="Google Sans Text" w:hAnsi="Google Sans Text"/>
            <w:color w:val="0000EE"/>
            <w:sz w:val="22"/>
            <w:szCs w:val="22"/>
          </w:rPr>
          <w:t>https://doi.org/10.1007/s40617-023-00788-z</w:t>
        </w:r>
      </w:hyperlink>
    </w:p>
    <w:p w14:paraId="6B901A16" w14:textId="77777777" w:rsidR="009D7505" w:rsidRDefault="009D7505" w:rsidP="009D7505">
      <w:pPr>
        <w:rPr>
          <w:color w:val="000000"/>
        </w:rPr>
      </w:pPr>
    </w:p>
    <w:p w14:paraId="1245A146"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Heward, C., et al. (2024). </w:t>
      </w:r>
      <w:r>
        <w:rPr>
          <w:rFonts w:ascii="Google Sans Text" w:hAnsi="Google Sans Text"/>
          <w:i/>
          <w:iCs/>
          <w:color w:val="000000"/>
          <w:sz w:val="22"/>
          <w:szCs w:val="22"/>
        </w:rPr>
        <w:t>A Scoping Review of Military Culture, Military Identity, and Mental Health Outcomes.</w:t>
      </w:r>
      <w:r>
        <w:rPr>
          <w:rFonts w:ascii="Google Sans Text" w:hAnsi="Google Sans Text"/>
          <w:color w:val="000000"/>
          <w:sz w:val="22"/>
          <w:szCs w:val="22"/>
        </w:rPr>
        <w:t xml:space="preserve"> (As cited in UVic Online Academic Community, 2025).</w:t>
      </w:r>
    </w:p>
    <w:p w14:paraId="1448C7D5" w14:textId="77777777" w:rsidR="009D7505" w:rsidRDefault="009D7505" w:rsidP="009D7505">
      <w:pPr>
        <w:rPr>
          <w:color w:val="000000"/>
        </w:rPr>
      </w:pPr>
    </w:p>
    <w:p w14:paraId="47270235"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Smith, C. P., &amp; Freyd, J. J. (2014). Institutional betrayal. </w:t>
      </w:r>
      <w:r>
        <w:rPr>
          <w:rFonts w:ascii="Google Sans Text" w:hAnsi="Google Sans Text"/>
          <w:i/>
          <w:iCs/>
          <w:color w:val="000000"/>
          <w:sz w:val="22"/>
          <w:szCs w:val="22"/>
        </w:rPr>
        <w:t>American Psychologist</w:t>
      </w:r>
      <w:r>
        <w:rPr>
          <w:rFonts w:ascii="Google Sans Text" w:hAnsi="Google Sans Text"/>
          <w:color w:val="000000"/>
          <w:sz w:val="22"/>
          <w:szCs w:val="22"/>
        </w:rPr>
        <w:t>, 69(6), 575–587.</w:t>
      </w:r>
    </w:p>
    <w:p w14:paraId="3E8C7E33" w14:textId="77777777" w:rsidR="009D7505" w:rsidRDefault="009D7505" w:rsidP="009D7505">
      <w:pPr>
        <w:rPr>
          <w:color w:val="000000"/>
        </w:rPr>
      </w:pPr>
    </w:p>
    <w:p w14:paraId="2ED2474A" w14:textId="77777777" w:rsidR="009D7505" w:rsidRDefault="009D7505" w:rsidP="009D7505">
      <w:pPr>
        <w:pStyle w:val="NormalWeb"/>
        <w:spacing w:before="0" w:beforeAutospacing="0" w:after="0" w:afterAutospacing="0"/>
        <w:rPr>
          <w:color w:val="000000"/>
        </w:rPr>
      </w:pPr>
      <w:r>
        <w:rPr>
          <w:rFonts w:ascii="Google Sans Text" w:hAnsi="Google Sans Text"/>
          <w:color w:val="000000"/>
          <w:sz w:val="22"/>
          <w:szCs w:val="22"/>
        </w:rPr>
        <w:t xml:space="preserve">Wundt, W. (1897). </w:t>
      </w:r>
      <w:r>
        <w:rPr>
          <w:rFonts w:ascii="Google Sans Text" w:hAnsi="Google Sans Text"/>
          <w:i/>
          <w:iCs/>
          <w:color w:val="000000"/>
          <w:sz w:val="22"/>
          <w:szCs w:val="22"/>
        </w:rPr>
        <w:t>Outlines of psychology</w:t>
      </w:r>
      <w:r>
        <w:rPr>
          <w:rFonts w:ascii="Google Sans Text" w:hAnsi="Google Sans Text"/>
          <w:color w:val="000000"/>
          <w:sz w:val="22"/>
          <w:szCs w:val="22"/>
        </w:rPr>
        <w:t xml:space="preserve"> (C. H. Judd, Trans.). Wilhelm Engelmann.</w:t>
      </w:r>
    </w:p>
    <w:p w14:paraId="5405B6C7" w14:textId="77777777" w:rsidR="009D7505" w:rsidRDefault="009D7505" w:rsidP="009D7505">
      <w:pPr>
        <w:spacing w:after="240"/>
      </w:pPr>
    </w:p>
    <w:p w14:paraId="7A41C269" w14:textId="77777777" w:rsidR="009D7505" w:rsidRDefault="009D7505" w:rsidP="009D7505"/>
    <w:p w14:paraId="3ED2459B" w14:textId="77777777" w:rsidR="009D7505" w:rsidRDefault="009D7505" w:rsidP="009D7505">
      <w:pPr>
        <w:pStyle w:val="Heading3"/>
        <w:spacing w:before="0"/>
        <w:rPr>
          <w:color w:val="000000"/>
        </w:rPr>
      </w:pPr>
    </w:p>
    <w:p w14:paraId="5CAD9A4B" w14:textId="77777777" w:rsidR="009D7505" w:rsidRDefault="009D7505">
      <w:pPr>
        <w:rPr>
          <w:b/>
          <w:bCs/>
          <w:color w:val="000000"/>
          <w:sz w:val="28"/>
          <w:szCs w:val="28"/>
        </w:rPr>
      </w:pPr>
      <w:r>
        <w:rPr>
          <w:color w:val="000000"/>
        </w:rPr>
        <w:br w:type="page"/>
      </w:r>
    </w:p>
    <w:p w14:paraId="5B5331E5" w14:textId="23C521C7" w:rsidR="009D7505" w:rsidRDefault="009D7505" w:rsidP="009D7505">
      <w:pPr>
        <w:pStyle w:val="Heading3"/>
        <w:spacing w:before="0"/>
        <w:rPr>
          <w:color w:val="000000"/>
        </w:rPr>
      </w:pPr>
      <w:r>
        <w:rPr>
          <w:color w:val="000000"/>
        </w:rPr>
        <w:lastRenderedPageBreak/>
        <w:t>Key Terminology Rationales:</w:t>
      </w:r>
    </w:p>
    <w:p w14:paraId="21AE14F4" w14:textId="77777777" w:rsidR="009D7505" w:rsidRDefault="009D7505" w:rsidP="009D7505">
      <w:pPr>
        <w:pStyle w:val="NormalWeb"/>
        <w:numPr>
          <w:ilvl w:val="0"/>
          <w:numId w:val="2"/>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NIS (Neurodivergent Interaction Scale):</w:t>
      </w:r>
      <w:r>
        <w:rPr>
          <w:rFonts w:ascii="Google Sans Text" w:hAnsi="Google Sans Text" w:cs="Arial"/>
          <w:color w:val="000000"/>
          <w:sz w:val="22"/>
          <w:szCs w:val="22"/>
        </w:rPr>
        <w:t xml:space="preserve"> Replaces the NSIR as the primary heuristic evaluation tool for measuring systemic inclusivity and communicative autonomy.</w:t>
      </w:r>
    </w:p>
    <w:p w14:paraId="2E66AAA9" w14:textId="77777777" w:rsidR="009D7505" w:rsidRDefault="009D7505" w:rsidP="009D7505">
      <w:pPr>
        <w:pStyle w:val="NormalWeb"/>
        <w:numPr>
          <w:ilvl w:val="0"/>
          <w:numId w:val="2"/>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Box-less Curriculum:</w:t>
      </w:r>
      <w:r>
        <w:rPr>
          <w:rFonts w:ascii="Google Sans Text" w:hAnsi="Google Sans Text" w:cs="Arial"/>
          <w:color w:val="000000"/>
          <w:sz w:val="22"/>
          <w:szCs w:val="22"/>
        </w:rPr>
        <w:t xml:space="preserve"> Captures the shift away from standardized "Social Box" requirements found in the Ontario Math Curriculum toward a focus on raw cognitive agency.</w:t>
      </w:r>
    </w:p>
    <w:p w14:paraId="33ADDCF4" w14:textId="77777777" w:rsidR="009D7505" w:rsidRDefault="009D7505" w:rsidP="009D7505">
      <w:pPr>
        <w:pStyle w:val="NormalWeb"/>
        <w:numPr>
          <w:ilvl w:val="0"/>
          <w:numId w:val="2"/>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Sovereign Vault Protocol (SVP):</w:t>
      </w:r>
      <w:r>
        <w:rPr>
          <w:rFonts w:ascii="Google Sans Text" w:hAnsi="Google Sans Text" w:cs="Arial"/>
          <w:color w:val="000000"/>
          <w:sz w:val="22"/>
          <w:szCs w:val="22"/>
        </w:rPr>
        <w:t xml:space="preserve"> Defines the technical state-machine that ensures the privacy and data sovereignty of the Dyad.</w:t>
      </w:r>
    </w:p>
    <w:p w14:paraId="30024207" w14:textId="77777777" w:rsidR="009D7505" w:rsidRDefault="009D7505" w:rsidP="009D7505">
      <w:pPr>
        <w:pStyle w:val="NormalWeb"/>
        <w:numPr>
          <w:ilvl w:val="0"/>
          <w:numId w:val="2"/>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Status Guarding:</w:t>
      </w:r>
      <w:r>
        <w:rPr>
          <w:rFonts w:ascii="Google Sans Text" w:hAnsi="Google Sans Text" w:cs="Arial"/>
          <w:color w:val="000000"/>
          <w:sz w:val="22"/>
          <w:szCs w:val="22"/>
        </w:rPr>
        <w:t xml:space="preserve"> Highlights the AI's role in protecting the learner from institutional "Social Eviction" and Masculine Discrepancy Stress (MDS).</w:t>
      </w:r>
    </w:p>
    <w:p w14:paraId="4FA250E2" w14:textId="77777777" w:rsidR="004B5C2A" w:rsidRDefault="004B5C2A" w:rsidP="004B5C2A">
      <w:pPr>
        <w:pBdr>
          <w:top w:val="nil"/>
          <w:left w:val="nil"/>
          <w:bottom w:val="nil"/>
          <w:right w:val="nil"/>
          <w:between w:val="nil"/>
        </w:pBdr>
        <w:spacing w:line="275" w:lineRule="auto"/>
        <w:rPr>
          <w:rFonts w:ascii="Google Sans Text" w:eastAsia="Google Sans Text" w:hAnsi="Google Sans Text" w:cs="Google Sans Text"/>
        </w:rPr>
      </w:pPr>
    </w:p>
    <w:p w14:paraId="40B95174"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052BE09E"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6EA98360"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499DAD5C"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2F22F788"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00076895"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3D7AD643"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75D52597"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3A4CF552"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0056ED4"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3DA1BD29"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10A9754"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0F82A745"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B0A3997"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0796449C"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734F6BBB"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1623404"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5AC90C43"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0282AFEC"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20AC16A4"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2130B136"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C5F9796"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34AB2730"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35DB6542" w14:textId="77777777" w:rsid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p>
    <w:p w14:paraId="1437FCEB" w14:textId="250B196E" w:rsidR="009D7505" w:rsidRPr="00E9784B" w:rsidRDefault="00E9784B" w:rsidP="004B5C2A">
      <w:pPr>
        <w:pBdr>
          <w:top w:val="nil"/>
          <w:left w:val="nil"/>
          <w:bottom w:val="nil"/>
          <w:right w:val="nil"/>
          <w:between w:val="nil"/>
        </w:pBdr>
        <w:spacing w:line="275" w:lineRule="auto"/>
        <w:rPr>
          <w:rFonts w:ascii="Google Sans Text" w:eastAsia="Google Sans Text" w:hAnsi="Google Sans Text" w:cs="Google Sans Text"/>
          <w:b/>
          <w:bCs/>
          <w:sz w:val="28"/>
          <w:szCs w:val="28"/>
        </w:rPr>
      </w:pPr>
      <w:r w:rsidRPr="00E9784B">
        <w:rPr>
          <w:rFonts w:ascii="Google Sans Text" w:eastAsia="Google Sans Text" w:hAnsi="Google Sans Text" w:cs="Google Sans Text"/>
          <w:b/>
          <w:bCs/>
          <w:sz w:val="28"/>
          <w:szCs w:val="28"/>
        </w:rPr>
        <w:lastRenderedPageBreak/>
        <w:t>Appendices</w:t>
      </w:r>
    </w:p>
    <w:p w14:paraId="5CA8C581" w14:textId="26A46C5A" w:rsidR="00E9784B" w:rsidRDefault="00E9784B" w:rsidP="00E9784B">
      <w:pPr>
        <w:pStyle w:val="Heading3"/>
        <w:spacing w:before="0"/>
        <w:rPr>
          <w:color w:val="000000"/>
        </w:rPr>
      </w:pPr>
      <w:r>
        <w:rPr>
          <w:color w:val="000000"/>
        </w:rPr>
        <w:br/>
      </w:r>
      <w:r>
        <w:rPr>
          <w:color w:val="000000"/>
        </w:rPr>
        <w:t>A</w:t>
      </w:r>
      <w:r>
        <w:rPr>
          <w:color w:val="000000"/>
        </w:rPr>
        <w:t>. The Evolutionary Matrix: NSIR vs. NIS</w:t>
      </w:r>
    </w:p>
    <w:p w14:paraId="51ADDAFA" w14:textId="77777777" w:rsidR="00E9784B" w:rsidRDefault="00E9784B" w:rsidP="00E9784B">
      <w:pPr>
        <w:pStyle w:val="NormalWeb"/>
        <w:spacing w:before="0" w:beforeAutospacing="0" w:after="0" w:afterAutospacing="0"/>
        <w:rPr>
          <w:color w:val="000000"/>
        </w:rPr>
      </w:pPr>
      <w:r>
        <w:rPr>
          <w:rFonts w:ascii="Google Sans Text" w:hAnsi="Google Sans Text"/>
          <w:b/>
          <w:bCs/>
          <w:color w:val="000000"/>
          <w:sz w:val="22"/>
          <w:szCs w:val="22"/>
        </w:rPr>
        <w:t>Source:</w:t>
      </w:r>
      <w:r>
        <w:rPr>
          <w:rFonts w:ascii="Google Sans Text" w:hAnsi="Google Sans Text"/>
          <w:color w:val="000000"/>
          <w:sz w:val="22"/>
          <w:szCs w:val="22"/>
        </w:rPr>
        <w:t xml:space="preserve"> </w:t>
      </w:r>
      <w:hyperlink r:id="rId8" w:history="1">
        <w:r>
          <w:rPr>
            <w:rStyle w:val="Hyperlink"/>
            <w:rFonts w:ascii="Google Sans Text" w:hAnsi="Google Sans Text"/>
            <w:color w:val="0000EE"/>
            <w:sz w:val="22"/>
            <w:szCs w:val="22"/>
          </w:rPr>
          <w:t>Neurodivergent Interaction Scale (NIS) - UVic</w:t>
        </w:r>
      </w:hyperlink>
    </w:p>
    <w:p w14:paraId="15B67EFE"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Include this table in your </w:t>
      </w:r>
      <w:r>
        <w:rPr>
          <w:rFonts w:ascii="Google Sans Text" w:hAnsi="Google Sans Text"/>
          <w:b/>
          <w:bCs/>
          <w:color w:val="000000"/>
          <w:sz w:val="22"/>
          <w:szCs w:val="22"/>
        </w:rPr>
        <w:t>Methodology</w:t>
      </w:r>
      <w:r>
        <w:rPr>
          <w:rFonts w:ascii="Google Sans Text" w:hAnsi="Google Sans Text"/>
          <w:color w:val="000000"/>
          <w:sz w:val="22"/>
          <w:szCs w:val="22"/>
        </w:rPr>
        <w:t xml:space="preserve"> or </w:t>
      </w:r>
      <w:r>
        <w:rPr>
          <w:rFonts w:ascii="Google Sans Text" w:hAnsi="Google Sans Text"/>
          <w:b/>
          <w:bCs/>
          <w:color w:val="000000"/>
          <w:sz w:val="22"/>
          <w:szCs w:val="22"/>
        </w:rPr>
        <w:t>Results</w:t>
      </w:r>
      <w:r>
        <w:rPr>
          <w:rFonts w:ascii="Google Sans Text" w:hAnsi="Google Sans Text"/>
          <w:color w:val="000000"/>
          <w:sz w:val="22"/>
          <w:szCs w:val="22"/>
        </w:rPr>
        <w:t xml:space="preserve"> section to demonstrate the strategic move from measuring a "feeling" (human-robot bond) to measuring "performance" (systemic inclusivity).</w:t>
      </w:r>
    </w:p>
    <w:tbl>
      <w:tblPr>
        <w:tblW w:w="0" w:type="auto"/>
        <w:tblCellMar>
          <w:top w:w="15" w:type="dxa"/>
          <w:left w:w="15" w:type="dxa"/>
          <w:bottom w:w="15" w:type="dxa"/>
          <w:right w:w="15" w:type="dxa"/>
        </w:tblCellMar>
        <w:tblLook w:val="04A0" w:firstRow="1" w:lastRow="0" w:firstColumn="1" w:lastColumn="0" w:noHBand="0" w:noVBand="1"/>
      </w:tblPr>
      <w:tblGrid>
        <w:gridCol w:w="1083"/>
        <w:gridCol w:w="2772"/>
        <w:gridCol w:w="2762"/>
        <w:gridCol w:w="2727"/>
      </w:tblGrid>
      <w:tr w:rsidR="00E9784B" w14:paraId="5B92390B" w14:textId="77777777">
        <w:tc>
          <w:tcPr>
            <w:tcW w:w="0" w:type="auto"/>
            <w:tcBorders>
              <w:top w:val="single" w:sz="6" w:space="0" w:color="000000"/>
              <w:left w:val="single" w:sz="6" w:space="0" w:color="000000"/>
              <w:bottom w:val="single" w:sz="6" w:space="0" w:color="000000"/>
              <w:right w:val="single" w:sz="6" w:space="0" w:color="000000"/>
            </w:tcBorders>
            <w:hideMark/>
          </w:tcPr>
          <w:p w14:paraId="15328568" w14:textId="77777777" w:rsidR="00E9784B" w:rsidRDefault="00E9784B">
            <w:pPr>
              <w:pStyle w:val="NormalWeb"/>
              <w:spacing w:before="0" w:beforeAutospacing="0" w:after="0" w:afterAutospacing="0"/>
            </w:pPr>
            <w:r>
              <w:rPr>
                <w:rFonts w:ascii="Google Sans Text" w:hAnsi="Google Sans Text"/>
                <w:b/>
                <w:bCs/>
                <w:color w:val="000000"/>
                <w:sz w:val="22"/>
                <w:szCs w:val="22"/>
              </w:rPr>
              <w:t>Feature</w:t>
            </w:r>
          </w:p>
        </w:tc>
        <w:tc>
          <w:tcPr>
            <w:tcW w:w="0" w:type="auto"/>
            <w:tcBorders>
              <w:top w:val="single" w:sz="6" w:space="0" w:color="000000"/>
              <w:left w:val="single" w:sz="6" w:space="0" w:color="000000"/>
              <w:bottom w:val="single" w:sz="6" w:space="0" w:color="000000"/>
              <w:right w:val="single" w:sz="6" w:space="0" w:color="000000"/>
            </w:tcBorders>
            <w:hideMark/>
          </w:tcPr>
          <w:p w14:paraId="4E34A3EC" w14:textId="77777777" w:rsidR="00E9784B" w:rsidRDefault="00E9784B">
            <w:pPr>
              <w:pStyle w:val="NormalWeb"/>
              <w:spacing w:before="0" w:beforeAutospacing="0" w:after="0" w:afterAutospacing="0"/>
            </w:pPr>
            <w:r>
              <w:rPr>
                <w:rFonts w:ascii="Google Sans Text" w:hAnsi="Google Sans Text"/>
                <w:b/>
                <w:bCs/>
                <w:color w:val="000000"/>
                <w:sz w:val="22"/>
                <w:szCs w:val="22"/>
              </w:rPr>
              <w:t>NSIR (Sadownik, 2025)</w:t>
            </w:r>
          </w:p>
        </w:tc>
        <w:tc>
          <w:tcPr>
            <w:tcW w:w="0" w:type="auto"/>
            <w:tcBorders>
              <w:top w:val="single" w:sz="6" w:space="0" w:color="000000"/>
              <w:left w:val="single" w:sz="6" w:space="0" w:color="000000"/>
              <w:bottom w:val="single" w:sz="6" w:space="0" w:color="000000"/>
              <w:right w:val="single" w:sz="6" w:space="0" w:color="000000"/>
            </w:tcBorders>
            <w:hideMark/>
          </w:tcPr>
          <w:p w14:paraId="548176F7" w14:textId="77777777" w:rsidR="00E9784B" w:rsidRDefault="00E9784B">
            <w:pPr>
              <w:pStyle w:val="NormalWeb"/>
              <w:spacing w:before="0" w:beforeAutospacing="0" w:after="0" w:afterAutospacing="0"/>
            </w:pPr>
            <w:r>
              <w:rPr>
                <w:rFonts w:ascii="Google Sans Text" w:hAnsi="Google Sans Text"/>
                <w:b/>
                <w:bCs/>
                <w:color w:val="000000"/>
                <w:sz w:val="22"/>
                <w:szCs w:val="22"/>
              </w:rPr>
              <w:t>NIS (Heuristic Evolution, 2026)</w:t>
            </w:r>
          </w:p>
        </w:tc>
        <w:tc>
          <w:tcPr>
            <w:tcW w:w="0" w:type="auto"/>
            <w:tcBorders>
              <w:top w:val="single" w:sz="6" w:space="0" w:color="000000"/>
              <w:left w:val="single" w:sz="6" w:space="0" w:color="000000"/>
              <w:bottom w:val="single" w:sz="6" w:space="0" w:color="000000"/>
              <w:right w:val="single" w:sz="6" w:space="0" w:color="000000"/>
            </w:tcBorders>
            <w:hideMark/>
          </w:tcPr>
          <w:p w14:paraId="05BDC098" w14:textId="77777777" w:rsidR="00E9784B" w:rsidRDefault="00E9784B">
            <w:pPr>
              <w:pStyle w:val="NormalWeb"/>
              <w:spacing w:before="0" w:beforeAutospacing="0" w:after="0" w:afterAutospacing="0"/>
            </w:pPr>
            <w:r>
              <w:rPr>
                <w:rFonts w:ascii="Google Sans Text" w:hAnsi="Google Sans Text"/>
                <w:b/>
                <w:bCs/>
                <w:color w:val="000000"/>
                <w:sz w:val="22"/>
                <w:szCs w:val="22"/>
              </w:rPr>
              <w:t>Relationship to the "Box"</w:t>
            </w:r>
          </w:p>
        </w:tc>
      </w:tr>
      <w:tr w:rsidR="00E9784B" w14:paraId="650943DA" w14:textId="77777777">
        <w:tc>
          <w:tcPr>
            <w:tcW w:w="0" w:type="auto"/>
            <w:tcBorders>
              <w:top w:val="single" w:sz="6" w:space="0" w:color="000000"/>
              <w:left w:val="single" w:sz="6" w:space="0" w:color="000000"/>
              <w:bottom w:val="single" w:sz="6" w:space="0" w:color="000000"/>
              <w:right w:val="single" w:sz="6" w:space="0" w:color="000000"/>
            </w:tcBorders>
            <w:hideMark/>
          </w:tcPr>
          <w:p w14:paraId="13A3532F" w14:textId="77777777" w:rsidR="00E9784B" w:rsidRDefault="00E9784B">
            <w:pPr>
              <w:pStyle w:val="NormalWeb"/>
              <w:spacing w:before="0" w:beforeAutospacing="0" w:after="0" w:afterAutospacing="0"/>
            </w:pPr>
            <w:r>
              <w:rPr>
                <w:rFonts w:ascii="Google Sans Text" w:hAnsi="Google Sans Text"/>
                <w:b/>
                <w:bCs/>
                <w:color w:val="000000"/>
                <w:sz w:val="22"/>
                <w:szCs w:val="22"/>
              </w:rPr>
              <w:t>Primary Goal</w:t>
            </w:r>
          </w:p>
        </w:tc>
        <w:tc>
          <w:tcPr>
            <w:tcW w:w="0" w:type="auto"/>
            <w:tcBorders>
              <w:top w:val="single" w:sz="6" w:space="0" w:color="000000"/>
              <w:left w:val="single" w:sz="6" w:space="0" w:color="000000"/>
              <w:bottom w:val="single" w:sz="6" w:space="0" w:color="000000"/>
              <w:right w:val="single" w:sz="6" w:space="0" w:color="000000"/>
            </w:tcBorders>
            <w:hideMark/>
          </w:tcPr>
          <w:p w14:paraId="7BBAF309" w14:textId="77777777" w:rsidR="00E9784B" w:rsidRDefault="00E9784B">
            <w:pPr>
              <w:pStyle w:val="NormalWeb"/>
              <w:spacing w:before="0" w:beforeAutospacing="0" w:after="0" w:afterAutospacing="0"/>
            </w:pPr>
            <w:r>
              <w:rPr>
                <w:rFonts w:ascii="Google Sans Text" w:hAnsi="Google Sans Text"/>
                <w:color w:val="000000"/>
                <w:sz w:val="22"/>
                <w:szCs w:val="22"/>
              </w:rPr>
              <w:t>Measuring the Human-Robot Bond (Internal Experience)</w:t>
            </w:r>
          </w:p>
        </w:tc>
        <w:tc>
          <w:tcPr>
            <w:tcW w:w="0" w:type="auto"/>
            <w:tcBorders>
              <w:top w:val="single" w:sz="6" w:space="0" w:color="000000"/>
              <w:left w:val="single" w:sz="6" w:space="0" w:color="000000"/>
              <w:bottom w:val="single" w:sz="6" w:space="0" w:color="000000"/>
              <w:right w:val="single" w:sz="6" w:space="0" w:color="000000"/>
            </w:tcBorders>
            <w:hideMark/>
          </w:tcPr>
          <w:p w14:paraId="4E0A8C9E" w14:textId="77777777" w:rsidR="00E9784B" w:rsidRDefault="00E9784B">
            <w:pPr>
              <w:pStyle w:val="NormalWeb"/>
              <w:spacing w:before="0" w:beforeAutospacing="0" w:after="0" w:afterAutospacing="0"/>
            </w:pPr>
            <w:r>
              <w:rPr>
                <w:rFonts w:ascii="Google Sans Text" w:hAnsi="Google Sans Text"/>
                <w:color w:val="000000"/>
                <w:sz w:val="22"/>
                <w:szCs w:val="22"/>
              </w:rPr>
              <w:t>Evaluating Systemic Inclusivity (Technical Performance)</w:t>
            </w:r>
          </w:p>
        </w:tc>
        <w:tc>
          <w:tcPr>
            <w:tcW w:w="0" w:type="auto"/>
            <w:tcBorders>
              <w:top w:val="single" w:sz="6" w:space="0" w:color="000000"/>
              <w:left w:val="single" w:sz="6" w:space="0" w:color="000000"/>
              <w:bottom w:val="single" w:sz="6" w:space="0" w:color="000000"/>
              <w:right w:val="single" w:sz="6" w:space="0" w:color="000000"/>
            </w:tcBorders>
            <w:hideMark/>
          </w:tcPr>
          <w:p w14:paraId="05C155E7" w14:textId="77777777" w:rsidR="00E9784B" w:rsidRDefault="00E9784B">
            <w:pPr>
              <w:pStyle w:val="NormalWeb"/>
              <w:spacing w:before="0" w:beforeAutospacing="0" w:after="0" w:afterAutospacing="0"/>
            </w:pPr>
            <w:r>
              <w:rPr>
                <w:rFonts w:ascii="Google Sans Text" w:hAnsi="Google Sans Text"/>
                <w:color w:val="000000"/>
                <w:sz w:val="22"/>
                <w:szCs w:val="22"/>
              </w:rPr>
              <w:t>Moving from feeling outside the box to building outside it.</w:t>
            </w:r>
          </w:p>
        </w:tc>
      </w:tr>
      <w:tr w:rsidR="00E9784B" w14:paraId="729AADB5" w14:textId="77777777">
        <w:tc>
          <w:tcPr>
            <w:tcW w:w="0" w:type="auto"/>
            <w:tcBorders>
              <w:top w:val="single" w:sz="6" w:space="0" w:color="000000"/>
              <w:left w:val="single" w:sz="6" w:space="0" w:color="000000"/>
              <w:bottom w:val="single" w:sz="6" w:space="0" w:color="000000"/>
              <w:right w:val="single" w:sz="6" w:space="0" w:color="000000"/>
            </w:tcBorders>
            <w:hideMark/>
          </w:tcPr>
          <w:p w14:paraId="2F7CE03B" w14:textId="77777777" w:rsidR="00E9784B" w:rsidRDefault="00E9784B">
            <w:pPr>
              <w:pStyle w:val="NormalWeb"/>
              <w:spacing w:before="0" w:beforeAutospacing="0" w:after="0" w:afterAutospacing="0"/>
            </w:pPr>
            <w:r>
              <w:rPr>
                <w:rFonts w:ascii="Google Sans Text" w:hAnsi="Google Sans Text"/>
                <w:b/>
                <w:bCs/>
                <w:color w:val="000000"/>
                <w:sz w:val="22"/>
                <w:szCs w:val="22"/>
              </w:rPr>
              <w:t>Structure</w:t>
            </w:r>
          </w:p>
        </w:tc>
        <w:tc>
          <w:tcPr>
            <w:tcW w:w="0" w:type="auto"/>
            <w:tcBorders>
              <w:top w:val="single" w:sz="6" w:space="0" w:color="000000"/>
              <w:left w:val="single" w:sz="6" w:space="0" w:color="000000"/>
              <w:bottom w:val="single" w:sz="6" w:space="0" w:color="000000"/>
              <w:right w:val="single" w:sz="6" w:space="0" w:color="000000"/>
            </w:tcBorders>
            <w:hideMark/>
          </w:tcPr>
          <w:p w14:paraId="64B30FB2" w14:textId="77777777" w:rsidR="00E9784B" w:rsidRDefault="00E9784B">
            <w:pPr>
              <w:pStyle w:val="NormalWeb"/>
              <w:spacing w:before="0" w:beforeAutospacing="0" w:after="0" w:afterAutospacing="0"/>
            </w:pPr>
            <w:r>
              <w:rPr>
                <w:rFonts w:ascii="Google Sans Text" w:hAnsi="Google Sans Text"/>
                <w:color w:val="000000"/>
                <w:sz w:val="22"/>
                <w:szCs w:val="22"/>
              </w:rPr>
              <w:t>8-Item Psychometric Scale</w:t>
            </w:r>
          </w:p>
        </w:tc>
        <w:tc>
          <w:tcPr>
            <w:tcW w:w="0" w:type="auto"/>
            <w:tcBorders>
              <w:top w:val="single" w:sz="6" w:space="0" w:color="000000"/>
              <w:left w:val="single" w:sz="6" w:space="0" w:color="000000"/>
              <w:bottom w:val="single" w:sz="6" w:space="0" w:color="000000"/>
              <w:right w:val="single" w:sz="6" w:space="0" w:color="000000"/>
            </w:tcBorders>
            <w:hideMark/>
          </w:tcPr>
          <w:p w14:paraId="446E1ED1" w14:textId="77777777" w:rsidR="00E9784B" w:rsidRDefault="00E9784B">
            <w:pPr>
              <w:pStyle w:val="NormalWeb"/>
              <w:spacing w:before="0" w:beforeAutospacing="0" w:after="0" w:afterAutospacing="0"/>
            </w:pPr>
            <w:r>
              <w:rPr>
                <w:rFonts w:ascii="Google Sans Text" w:hAnsi="Google Sans Text"/>
                <w:color w:val="000000"/>
                <w:sz w:val="22"/>
                <w:szCs w:val="22"/>
              </w:rPr>
              <w:t>4-Dimensional Heuristic Tool</w:t>
            </w:r>
          </w:p>
        </w:tc>
        <w:tc>
          <w:tcPr>
            <w:tcW w:w="0" w:type="auto"/>
            <w:tcBorders>
              <w:top w:val="single" w:sz="6" w:space="0" w:color="000000"/>
              <w:left w:val="single" w:sz="6" w:space="0" w:color="000000"/>
              <w:bottom w:val="single" w:sz="6" w:space="0" w:color="000000"/>
              <w:right w:val="single" w:sz="6" w:space="0" w:color="000000"/>
            </w:tcBorders>
            <w:hideMark/>
          </w:tcPr>
          <w:p w14:paraId="4FA11B21" w14:textId="77777777" w:rsidR="00E9784B" w:rsidRDefault="00E9784B">
            <w:pPr>
              <w:pStyle w:val="NormalWeb"/>
              <w:spacing w:before="0" w:beforeAutospacing="0" w:after="0" w:afterAutospacing="0"/>
            </w:pPr>
            <w:r>
              <w:rPr>
                <w:rFonts w:ascii="Google Sans Text" w:hAnsi="Google Sans Text"/>
                <w:color w:val="000000"/>
                <w:sz w:val="22"/>
                <w:szCs w:val="22"/>
              </w:rPr>
              <w:t>Defining the geometry of a "Box-less" reality.</w:t>
            </w:r>
          </w:p>
        </w:tc>
      </w:tr>
      <w:tr w:rsidR="00E9784B" w14:paraId="54F2D7B1" w14:textId="77777777">
        <w:tc>
          <w:tcPr>
            <w:tcW w:w="0" w:type="auto"/>
            <w:tcBorders>
              <w:top w:val="single" w:sz="6" w:space="0" w:color="000000"/>
              <w:left w:val="single" w:sz="6" w:space="0" w:color="000000"/>
              <w:bottom w:val="single" w:sz="6" w:space="0" w:color="000000"/>
              <w:right w:val="single" w:sz="6" w:space="0" w:color="000000"/>
            </w:tcBorders>
            <w:hideMark/>
          </w:tcPr>
          <w:p w14:paraId="3306E819" w14:textId="77777777" w:rsidR="00E9784B" w:rsidRDefault="00E9784B">
            <w:pPr>
              <w:pStyle w:val="NormalWeb"/>
              <w:spacing w:before="0" w:beforeAutospacing="0" w:after="0" w:afterAutospacing="0"/>
            </w:pPr>
            <w:r>
              <w:rPr>
                <w:rFonts w:ascii="Google Sans Text" w:hAnsi="Google Sans Text"/>
                <w:b/>
                <w:bCs/>
                <w:color w:val="000000"/>
                <w:sz w:val="22"/>
                <w:szCs w:val="22"/>
              </w:rPr>
              <w:t>Key Metric</w:t>
            </w:r>
          </w:p>
        </w:tc>
        <w:tc>
          <w:tcPr>
            <w:tcW w:w="0" w:type="auto"/>
            <w:tcBorders>
              <w:top w:val="single" w:sz="6" w:space="0" w:color="000000"/>
              <w:left w:val="single" w:sz="6" w:space="0" w:color="000000"/>
              <w:bottom w:val="single" w:sz="6" w:space="0" w:color="000000"/>
              <w:right w:val="single" w:sz="6" w:space="0" w:color="000000"/>
            </w:tcBorders>
            <w:hideMark/>
          </w:tcPr>
          <w:p w14:paraId="2B02DDC7" w14:textId="77777777" w:rsidR="00E9784B" w:rsidRDefault="00E9784B">
            <w:pPr>
              <w:pStyle w:val="NormalWeb"/>
              <w:spacing w:before="0" w:beforeAutospacing="0" w:after="0" w:afterAutospacing="0"/>
            </w:pPr>
            <w:r>
              <w:rPr>
                <w:rFonts w:ascii="Google Sans Text" w:hAnsi="Google Sans Text"/>
                <w:color w:val="000000"/>
                <w:sz w:val="22"/>
                <w:szCs w:val="22"/>
              </w:rPr>
              <w:t>"Comfort in Undressing" (High-threshold safety)</w:t>
            </w:r>
          </w:p>
        </w:tc>
        <w:tc>
          <w:tcPr>
            <w:tcW w:w="0" w:type="auto"/>
            <w:tcBorders>
              <w:top w:val="single" w:sz="6" w:space="0" w:color="000000"/>
              <w:left w:val="single" w:sz="6" w:space="0" w:color="000000"/>
              <w:bottom w:val="single" w:sz="6" w:space="0" w:color="000000"/>
              <w:right w:val="single" w:sz="6" w:space="0" w:color="000000"/>
            </w:tcBorders>
            <w:hideMark/>
          </w:tcPr>
          <w:p w14:paraId="2802D4D7" w14:textId="77777777" w:rsidR="00E9784B" w:rsidRDefault="00E9784B">
            <w:pPr>
              <w:pStyle w:val="NormalWeb"/>
              <w:spacing w:before="0" w:beforeAutospacing="0" w:after="0" w:afterAutospacing="0"/>
            </w:pPr>
            <w:r>
              <w:rPr>
                <w:rFonts w:ascii="Google Sans Text" w:hAnsi="Google Sans Text"/>
                <w:color w:val="000000"/>
                <w:sz w:val="22"/>
                <w:szCs w:val="22"/>
              </w:rPr>
              <w:t>The "Grawlix" Litmus Test (Logic-driven affect)</w:t>
            </w:r>
          </w:p>
        </w:tc>
        <w:tc>
          <w:tcPr>
            <w:tcW w:w="0" w:type="auto"/>
            <w:tcBorders>
              <w:top w:val="single" w:sz="6" w:space="0" w:color="000000"/>
              <w:left w:val="single" w:sz="6" w:space="0" w:color="000000"/>
              <w:bottom w:val="single" w:sz="6" w:space="0" w:color="000000"/>
              <w:right w:val="single" w:sz="6" w:space="0" w:color="000000"/>
            </w:tcBorders>
            <w:hideMark/>
          </w:tcPr>
          <w:p w14:paraId="0FAC02C4" w14:textId="77777777" w:rsidR="00E9784B" w:rsidRDefault="00E9784B">
            <w:pPr>
              <w:pStyle w:val="NormalWeb"/>
              <w:spacing w:before="0" w:beforeAutospacing="0" w:after="0" w:afterAutospacing="0"/>
            </w:pPr>
            <w:r>
              <w:rPr>
                <w:rFonts w:ascii="Google Sans Text" w:hAnsi="Google Sans Text"/>
                <w:color w:val="000000"/>
                <w:sz w:val="22"/>
                <w:szCs w:val="22"/>
              </w:rPr>
              <w:t>Validating the Sovereign Sanctuary.</w:t>
            </w:r>
          </w:p>
        </w:tc>
      </w:tr>
    </w:tbl>
    <w:p w14:paraId="03498DE0" w14:textId="2948DA98" w:rsidR="00E9784B" w:rsidRDefault="00E9784B" w:rsidP="00E9784B">
      <w:pPr>
        <w:pStyle w:val="Heading3"/>
        <w:spacing w:before="480"/>
        <w:rPr>
          <w:color w:val="000000"/>
        </w:rPr>
      </w:pPr>
      <w:r>
        <w:rPr>
          <w:color w:val="000000"/>
        </w:rPr>
        <w:t>B</w:t>
      </w:r>
      <w:r>
        <w:rPr>
          <w:color w:val="000000"/>
        </w:rPr>
        <w:t>. NIS Heuristic Dimensions and Formalized Items</w:t>
      </w:r>
    </w:p>
    <w:p w14:paraId="37D4856B" w14:textId="77777777" w:rsidR="00E9784B" w:rsidRDefault="00E9784B" w:rsidP="00E9784B">
      <w:pPr>
        <w:pStyle w:val="NormalWeb"/>
        <w:spacing w:before="0" w:beforeAutospacing="0" w:after="0" w:afterAutospacing="0"/>
        <w:rPr>
          <w:color w:val="000000"/>
        </w:rPr>
      </w:pPr>
      <w:r>
        <w:rPr>
          <w:rFonts w:ascii="Google Sans Text" w:hAnsi="Google Sans Text"/>
          <w:b/>
          <w:bCs/>
          <w:color w:val="000000"/>
          <w:sz w:val="22"/>
          <w:szCs w:val="22"/>
        </w:rPr>
        <w:t>Source:</w:t>
      </w:r>
      <w:r>
        <w:rPr>
          <w:rFonts w:ascii="Google Sans Text" w:hAnsi="Google Sans Text"/>
          <w:color w:val="000000"/>
          <w:sz w:val="22"/>
          <w:szCs w:val="22"/>
        </w:rPr>
        <w:t xml:space="preserve"> </w:t>
      </w:r>
      <w:hyperlink r:id="rId9" w:history="1">
        <w:r>
          <w:rPr>
            <w:rStyle w:val="Hyperlink"/>
            <w:rFonts w:ascii="Google Sans Text" w:hAnsi="Google Sans Text"/>
            <w:color w:val="0000EE"/>
            <w:sz w:val="22"/>
            <w:szCs w:val="22"/>
          </w:rPr>
          <w:t>Neurodivergent Interaction Scale (NIS) - UVic</w:t>
        </w:r>
      </w:hyperlink>
    </w:p>
    <w:p w14:paraId="6F0F38CE"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 xml:space="preserve">This table should be included as an </w:t>
      </w:r>
      <w:r>
        <w:rPr>
          <w:rFonts w:ascii="Google Sans Text" w:hAnsi="Google Sans Text"/>
          <w:b/>
          <w:bCs/>
          <w:color w:val="000000"/>
          <w:sz w:val="22"/>
          <w:szCs w:val="22"/>
        </w:rPr>
        <w:t>Appendix</w:t>
      </w:r>
      <w:r>
        <w:rPr>
          <w:rFonts w:ascii="Google Sans Text" w:hAnsi="Google Sans Text"/>
          <w:color w:val="000000"/>
          <w:sz w:val="22"/>
          <w:szCs w:val="22"/>
        </w:rPr>
        <w:t xml:space="preserve"> or a </w:t>
      </w:r>
      <w:r>
        <w:rPr>
          <w:rFonts w:ascii="Google Sans Text" w:hAnsi="Google Sans Text"/>
          <w:b/>
          <w:bCs/>
          <w:color w:val="000000"/>
          <w:sz w:val="22"/>
          <w:szCs w:val="22"/>
        </w:rPr>
        <w:t>Summary Table</w:t>
      </w:r>
      <w:r>
        <w:rPr>
          <w:rFonts w:ascii="Google Sans Text" w:hAnsi="Google Sans Text"/>
          <w:color w:val="000000"/>
          <w:sz w:val="22"/>
          <w:szCs w:val="22"/>
        </w:rPr>
        <w:t xml:space="preserve"> in your methodology to define your four measurable constructs.</w:t>
      </w:r>
    </w:p>
    <w:tbl>
      <w:tblPr>
        <w:tblW w:w="0" w:type="auto"/>
        <w:tblCellMar>
          <w:top w:w="15" w:type="dxa"/>
          <w:left w:w="15" w:type="dxa"/>
          <w:bottom w:w="15" w:type="dxa"/>
          <w:right w:w="15" w:type="dxa"/>
        </w:tblCellMar>
        <w:tblLook w:val="04A0" w:firstRow="1" w:lastRow="0" w:firstColumn="1" w:lastColumn="0" w:noHBand="0" w:noVBand="1"/>
      </w:tblPr>
      <w:tblGrid>
        <w:gridCol w:w="1945"/>
        <w:gridCol w:w="3578"/>
        <w:gridCol w:w="3821"/>
      </w:tblGrid>
      <w:tr w:rsidR="00E9784B" w14:paraId="70CF8D83" w14:textId="77777777">
        <w:tc>
          <w:tcPr>
            <w:tcW w:w="0" w:type="auto"/>
            <w:tcBorders>
              <w:top w:val="single" w:sz="6" w:space="0" w:color="000000"/>
              <w:left w:val="single" w:sz="6" w:space="0" w:color="000000"/>
              <w:bottom w:val="single" w:sz="6" w:space="0" w:color="000000"/>
              <w:right w:val="single" w:sz="6" w:space="0" w:color="000000"/>
            </w:tcBorders>
            <w:hideMark/>
          </w:tcPr>
          <w:p w14:paraId="36032D00" w14:textId="77777777" w:rsidR="00E9784B" w:rsidRDefault="00E9784B">
            <w:pPr>
              <w:pStyle w:val="NormalWeb"/>
              <w:spacing w:before="0" w:beforeAutospacing="0" w:after="0" w:afterAutospacing="0"/>
            </w:pPr>
            <w:r>
              <w:rPr>
                <w:rFonts w:ascii="Google Sans Text" w:hAnsi="Google Sans Text"/>
                <w:b/>
                <w:bCs/>
                <w:color w:val="000000"/>
                <w:sz w:val="22"/>
                <w:szCs w:val="22"/>
              </w:rPr>
              <w:t>Dimension</w:t>
            </w:r>
          </w:p>
        </w:tc>
        <w:tc>
          <w:tcPr>
            <w:tcW w:w="0" w:type="auto"/>
            <w:tcBorders>
              <w:top w:val="single" w:sz="6" w:space="0" w:color="000000"/>
              <w:left w:val="single" w:sz="6" w:space="0" w:color="000000"/>
              <w:bottom w:val="single" w:sz="6" w:space="0" w:color="000000"/>
              <w:right w:val="single" w:sz="6" w:space="0" w:color="000000"/>
            </w:tcBorders>
            <w:hideMark/>
          </w:tcPr>
          <w:p w14:paraId="32E21DB6" w14:textId="77777777" w:rsidR="00E9784B" w:rsidRDefault="00E9784B">
            <w:pPr>
              <w:pStyle w:val="NormalWeb"/>
              <w:spacing w:before="0" w:beforeAutospacing="0" w:after="0" w:afterAutospacing="0"/>
            </w:pPr>
            <w:r>
              <w:rPr>
                <w:rFonts w:ascii="Google Sans Text" w:hAnsi="Google Sans Text"/>
                <w:b/>
                <w:bCs/>
                <w:color w:val="000000"/>
                <w:sz w:val="22"/>
                <w:szCs w:val="22"/>
              </w:rPr>
              <w:t>Description</w:t>
            </w:r>
          </w:p>
        </w:tc>
        <w:tc>
          <w:tcPr>
            <w:tcW w:w="0" w:type="auto"/>
            <w:tcBorders>
              <w:top w:val="single" w:sz="6" w:space="0" w:color="000000"/>
              <w:left w:val="single" w:sz="6" w:space="0" w:color="000000"/>
              <w:bottom w:val="single" w:sz="6" w:space="0" w:color="000000"/>
              <w:right w:val="single" w:sz="6" w:space="0" w:color="000000"/>
            </w:tcBorders>
            <w:hideMark/>
          </w:tcPr>
          <w:p w14:paraId="279A9840" w14:textId="77777777" w:rsidR="00E9784B" w:rsidRDefault="00E9784B">
            <w:pPr>
              <w:pStyle w:val="NormalWeb"/>
              <w:spacing w:before="0" w:beforeAutospacing="0" w:after="0" w:afterAutospacing="0"/>
            </w:pPr>
            <w:r>
              <w:rPr>
                <w:rFonts w:ascii="Google Sans Text" w:hAnsi="Google Sans Text"/>
                <w:b/>
                <w:bCs/>
                <w:color w:val="000000"/>
                <w:sz w:val="22"/>
                <w:szCs w:val="22"/>
              </w:rPr>
              <w:t>Formalized Heuristic Item (Example)</w:t>
            </w:r>
          </w:p>
        </w:tc>
      </w:tr>
      <w:tr w:rsidR="00E9784B" w14:paraId="161003B0" w14:textId="77777777">
        <w:tc>
          <w:tcPr>
            <w:tcW w:w="0" w:type="auto"/>
            <w:tcBorders>
              <w:top w:val="single" w:sz="6" w:space="0" w:color="000000"/>
              <w:left w:val="single" w:sz="6" w:space="0" w:color="000000"/>
              <w:bottom w:val="single" w:sz="6" w:space="0" w:color="000000"/>
              <w:right w:val="single" w:sz="6" w:space="0" w:color="000000"/>
            </w:tcBorders>
            <w:hideMark/>
          </w:tcPr>
          <w:p w14:paraId="6574D89E" w14:textId="77777777" w:rsidR="00E9784B" w:rsidRDefault="00E9784B">
            <w:pPr>
              <w:pStyle w:val="NormalWeb"/>
              <w:spacing w:before="0" w:beforeAutospacing="0" w:after="0" w:afterAutospacing="0"/>
            </w:pPr>
            <w:r>
              <w:rPr>
                <w:rFonts w:ascii="Google Sans Text" w:hAnsi="Google Sans Text"/>
                <w:b/>
                <w:bCs/>
                <w:color w:val="000000"/>
                <w:sz w:val="22"/>
                <w:szCs w:val="22"/>
              </w:rPr>
              <w:t>Communicative Autonomy</w:t>
            </w:r>
          </w:p>
        </w:tc>
        <w:tc>
          <w:tcPr>
            <w:tcW w:w="0" w:type="auto"/>
            <w:tcBorders>
              <w:top w:val="single" w:sz="6" w:space="0" w:color="000000"/>
              <w:left w:val="single" w:sz="6" w:space="0" w:color="000000"/>
              <w:bottom w:val="single" w:sz="6" w:space="0" w:color="000000"/>
              <w:right w:val="single" w:sz="6" w:space="0" w:color="000000"/>
            </w:tcBorders>
            <w:hideMark/>
          </w:tcPr>
          <w:p w14:paraId="4EA7132B" w14:textId="77777777" w:rsidR="00E9784B" w:rsidRDefault="00E9784B">
            <w:pPr>
              <w:pStyle w:val="NormalWeb"/>
              <w:spacing w:before="0" w:beforeAutospacing="0" w:after="0" w:afterAutospacing="0"/>
            </w:pPr>
            <w:r>
              <w:rPr>
                <w:rFonts w:ascii="Google Sans Text" w:hAnsi="Google Sans Text"/>
                <w:color w:val="000000"/>
                <w:sz w:val="22"/>
                <w:szCs w:val="22"/>
              </w:rPr>
              <w:t>Freedom from NT social norms (e.g., forced eye contact).</w:t>
            </w:r>
          </w:p>
        </w:tc>
        <w:tc>
          <w:tcPr>
            <w:tcW w:w="0" w:type="auto"/>
            <w:tcBorders>
              <w:top w:val="single" w:sz="6" w:space="0" w:color="000000"/>
              <w:left w:val="single" w:sz="6" w:space="0" w:color="000000"/>
              <w:bottom w:val="single" w:sz="6" w:space="0" w:color="000000"/>
              <w:right w:val="single" w:sz="6" w:space="0" w:color="000000"/>
            </w:tcBorders>
            <w:hideMark/>
          </w:tcPr>
          <w:p w14:paraId="7A97366E" w14:textId="77777777" w:rsidR="00E9784B" w:rsidRDefault="00E9784B">
            <w:pPr>
              <w:pStyle w:val="NormalWeb"/>
              <w:spacing w:before="0" w:beforeAutospacing="0" w:after="0" w:afterAutospacing="0"/>
            </w:pPr>
            <w:r>
              <w:rPr>
                <w:rFonts w:ascii="Google Sans Text" w:hAnsi="Google Sans Text"/>
                <w:color w:val="000000"/>
                <w:sz w:val="22"/>
                <w:szCs w:val="22"/>
              </w:rPr>
              <w:t>"The robot permits unconventional visual attention without error protocols."</w:t>
            </w:r>
          </w:p>
        </w:tc>
      </w:tr>
      <w:tr w:rsidR="00E9784B" w14:paraId="27107E7E" w14:textId="77777777">
        <w:tc>
          <w:tcPr>
            <w:tcW w:w="0" w:type="auto"/>
            <w:tcBorders>
              <w:top w:val="single" w:sz="6" w:space="0" w:color="000000"/>
              <w:left w:val="single" w:sz="6" w:space="0" w:color="000000"/>
              <w:bottom w:val="single" w:sz="6" w:space="0" w:color="000000"/>
              <w:right w:val="single" w:sz="6" w:space="0" w:color="000000"/>
            </w:tcBorders>
            <w:hideMark/>
          </w:tcPr>
          <w:p w14:paraId="7F6A35CC" w14:textId="77777777" w:rsidR="00E9784B" w:rsidRDefault="00E9784B">
            <w:pPr>
              <w:pStyle w:val="NormalWeb"/>
              <w:spacing w:before="0" w:beforeAutospacing="0" w:after="0" w:afterAutospacing="0"/>
            </w:pPr>
            <w:r>
              <w:rPr>
                <w:rFonts w:ascii="Google Sans Text" w:hAnsi="Google Sans Text"/>
                <w:b/>
                <w:bCs/>
                <w:color w:val="000000"/>
                <w:sz w:val="22"/>
                <w:szCs w:val="22"/>
              </w:rPr>
              <w:t>Relational Stability</w:t>
            </w:r>
          </w:p>
        </w:tc>
        <w:tc>
          <w:tcPr>
            <w:tcW w:w="0" w:type="auto"/>
            <w:tcBorders>
              <w:top w:val="single" w:sz="6" w:space="0" w:color="000000"/>
              <w:left w:val="single" w:sz="6" w:space="0" w:color="000000"/>
              <w:bottom w:val="single" w:sz="6" w:space="0" w:color="000000"/>
              <w:right w:val="single" w:sz="6" w:space="0" w:color="000000"/>
            </w:tcBorders>
            <w:hideMark/>
          </w:tcPr>
          <w:p w14:paraId="289EE286" w14:textId="77777777" w:rsidR="00E9784B" w:rsidRDefault="00E9784B">
            <w:pPr>
              <w:pStyle w:val="NormalWeb"/>
              <w:spacing w:before="0" w:beforeAutospacing="0" w:after="0" w:afterAutospacing="0"/>
            </w:pPr>
            <w:r>
              <w:rPr>
                <w:rFonts w:ascii="Google Sans Text" w:hAnsi="Google Sans Text"/>
                <w:color w:val="000000"/>
                <w:sz w:val="22"/>
                <w:szCs w:val="22"/>
              </w:rPr>
              <w:t>Assessment of the robot as a consistent, dependable agent.</w:t>
            </w:r>
          </w:p>
        </w:tc>
        <w:tc>
          <w:tcPr>
            <w:tcW w:w="0" w:type="auto"/>
            <w:tcBorders>
              <w:top w:val="single" w:sz="6" w:space="0" w:color="000000"/>
              <w:left w:val="single" w:sz="6" w:space="0" w:color="000000"/>
              <w:bottom w:val="single" w:sz="6" w:space="0" w:color="000000"/>
              <w:right w:val="single" w:sz="6" w:space="0" w:color="000000"/>
            </w:tcBorders>
            <w:hideMark/>
          </w:tcPr>
          <w:p w14:paraId="7264FB7A" w14:textId="77777777" w:rsidR="00E9784B" w:rsidRDefault="00E9784B">
            <w:pPr>
              <w:pStyle w:val="NormalWeb"/>
              <w:spacing w:before="0" w:beforeAutospacing="0" w:after="0" w:afterAutospacing="0"/>
            </w:pPr>
            <w:r>
              <w:rPr>
                <w:rFonts w:ascii="Google Sans Text" w:hAnsi="Google Sans Text"/>
                <w:color w:val="000000"/>
                <w:sz w:val="22"/>
                <w:szCs w:val="22"/>
              </w:rPr>
              <w:t>"The system maintains long-term memory and predictable environmental stability."</w:t>
            </w:r>
          </w:p>
        </w:tc>
      </w:tr>
      <w:tr w:rsidR="00E9784B" w14:paraId="510B0A6A" w14:textId="77777777">
        <w:tc>
          <w:tcPr>
            <w:tcW w:w="0" w:type="auto"/>
            <w:tcBorders>
              <w:top w:val="single" w:sz="6" w:space="0" w:color="000000"/>
              <w:left w:val="single" w:sz="6" w:space="0" w:color="000000"/>
              <w:bottom w:val="single" w:sz="6" w:space="0" w:color="000000"/>
              <w:right w:val="single" w:sz="6" w:space="0" w:color="000000"/>
            </w:tcBorders>
            <w:hideMark/>
          </w:tcPr>
          <w:p w14:paraId="3ED17553" w14:textId="77777777" w:rsidR="00E9784B" w:rsidRDefault="00E9784B">
            <w:pPr>
              <w:pStyle w:val="NormalWeb"/>
              <w:spacing w:before="0" w:beforeAutospacing="0" w:after="0" w:afterAutospacing="0"/>
            </w:pPr>
            <w:r>
              <w:rPr>
                <w:rFonts w:ascii="Google Sans Text" w:hAnsi="Google Sans Text"/>
                <w:b/>
                <w:bCs/>
                <w:color w:val="000000"/>
                <w:sz w:val="22"/>
                <w:szCs w:val="22"/>
              </w:rPr>
              <w:t>Affective Recognition</w:t>
            </w:r>
          </w:p>
        </w:tc>
        <w:tc>
          <w:tcPr>
            <w:tcW w:w="0" w:type="auto"/>
            <w:tcBorders>
              <w:top w:val="single" w:sz="6" w:space="0" w:color="000000"/>
              <w:left w:val="single" w:sz="6" w:space="0" w:color="000000"/>
              <w:bottom w:val="single" w:sz="6" w:space="0" w:color="000000"/>
              <w:right w:val="single" w:sz="6" w:space="0" w:color="000000"/>
            </w:tcBorders>
            <w:hideMark/>
          </w:tcPr>
          <w:p w14:paraId="048ECAEC" w14:textId="77777777" w:rsidR="00E9784B" w:rsidRDefault="00E9784B">
            <w:pPr>
              <w:pStyle w:val="NormalWeb"/>
              <w:spacing w:before="0" w:beforeAutospacing="0" w:after="0" w:afterAutospacing="0"/>
            </w:pPr>
            <w:r>
              <w:rPr>
                <w:rFonts w:ascii="Google Sans Text" w:hAnsi="Google Sans Text"/>
                <w:color w:val="000000"/>
                <w:sz w:val="22"/>
                <w:szCs w:val="22"/>
              </w:rPr>
              <w:t>Ability to interpret non-standard emotional cues (prosody/spectral).</w:t>
            </w:r>
          </w:p>
        </w:tc>
        <w:tc>
          <w:tcPr>
            <w:tcW w:w="0" w:type="auto"/>
            <w:tcBorders>
              <w:top w:val="single" w:sz="6" w:space="0" w:color="000000"/>
              <w:left w:val="single" w:sz="6" w:space="0" w:color="000000"/>
              <w:bottom w:val="single" w:sz="6" w:space="0" w:color="000000"/>
              <w:right w:val="single" w:sz="6" w:space="0" w:color="000000"/>
            </w:tcBorders>
            <w:hideMark/>
          </w:tcPr>
          <w:p w14:paraId="750B6412" w14:textId="77777777" w:rsidR="00E9784B" w:rsidRDefault="00E9784B">
            <w:pPr>
              <w:pStyle w:val="NormalWeb"/>
              <w:spacing w:before="0" w:beforeAutospacing="0" w:after="0" w:afterAutospacing="0"/>
            </w:pPr>
            <w:r>
              <w:rPr>
                <w:rFonts w:ascii="Google Sans Text" w:hAnsi="Google Sans Text"/>
                <w:color w:val="000000"/>
                <w:sz w:val="22"/>
                <w:szCs w:val="22"/>
              </w:rPr>
              <w:t>"The robot identifies affective states expressed through atypical prosody."</w:t>
            </w:r>
          </w:p>
        </w:tc>
      </w:tr>
      <w:tr w:rsidR="00E9784B" w14:paraId="05947AFA" w14:textId="77777777">
        <w:tc>
          <w:tcPr>
            <w:tcW w:w="0" w:type="auto"/>
            <w:tcBorders>
              <w:top w:val="single" w:sz="6" w:space="0" w:color="000000"/>
              <w:left w:val="single" w:sz="6" w:space="0" w:color="000000"/>
              <w:bottom w:val="single" w:sz="6" w:space="0" w:color="000000"/>
              <w:right w:val="single" w:sz="6" w:space="0" w:color="000000"/>
            </w:tcBorders>
            <w:hideMark/>
          </w:tcPr>
          <w:p w14:paraId="2F9B525C" w14:textId="77777777" w:rsidR="00E9784B" w:rsidRDefault="00E9784B">
            <w:pPr>
              <w:pStyle w:val="NormalWeb"/>
              <w:spacing w:before="0" w:beforeAutospacing="0" w:after="0" w:afterAutospacing="0"/>
            </w:pPr>
            <w:r>
              <w:rPr>
                <w:rFonts w:ascii="Google Sans Text" w:hAnsi="Google Sans Text"/>
                <w:b/>
                <w:bCs/>
                <w:color w:val="000000"/>
                <w:sz w:val="22"/>
                <w:szCs w:val="22"/>
              </w:rPr>
              <w:t>Identification &amp; Privacy</w:t>
            </w:r>
          </w:p>
        </w:tc>
        <w:tc>
          <w:tcPr>
            <w:tcW w:w="0" w:type="auto"/>
            <w:tcBorders>
              <w:top w:val="single" w:sz="6" w:space="0" w:color="000000"/>
              <w:left w:val="single" w:sz="6" w:space="0" w:color="000000"/>
              <w:bottom w:val="single" w:sz="6" w:space="0" w:color="000000"/>
              <w:right w:val="single" w:sz="6" w:space="0" w:color="000000"/>
            </w:tcBorders>
            <w:hideMark/>
          </w:tcPr>
          <w:p w14:paraId="74B362B1" w14:textId="77777777" w:rsidR="00E9784B" w:rsidRDefault="00E9784B">
            <w:pPr>
              <w:pStyle w:val="NormalWeb"/>
              <w:spacing w:before="0" w:beforeAutospacing="0" w:after="0" w:afterAutospacing="0"/>
            </w:pPr>
            <w:r>
              <w:rPr>
                <w:rFonts w:ascii="Google Sans Text" w:hAnsi="Google Sans Text"/>
                <w:color w:val="000000"/>
                <w:sz w:val="22"/>
                <w:szCs w:val="22"/>
              </w:rPr>
              <w:t>Perceived safety and personification in private spaces.</w:t>
            </w:r>
          </w:p>
        </w:tc>
        <w:tc>
          <w:tcPr>
            <w:tcW w:w="0" w:type="auto"/>
            <w:tcBorders>
              <w:top w:val="single" w:sz="6" w:space="0" w:color="000000"/>
              <w:left w:val="single" w:sz="6" w:space="0" w:color="000000"/>
              <w:bottom w:val="single" w:sz="6" w:space="0" w:color="000000"/>
              <w:right w:val="single" w:sz="6" w:space="0" w:color="000000"/>
            </w:tcBorders>
            <w:hideMark/>
          </w:tcPr>
          <w:p w14:paraId="20DE2740" w14:textId="77777777" w:rsidR="00E9784B" w:rsidRDefault="00E9784B">
            <w:pPr>
              <w:pStyle w:val="NormalWeb"/>
              <w:spacing w:before="0" w:beforeAutospacing="0" w:after="0" w:afterAutospacing="0"/>
            </w:pPr>
            <w:r>
              <w:rPr>
                <w:rFonts w:ascii="Google Sans Text" w:hAnsi="Google Sans Text"/>
                <w:color w:val="000000"/>
                <w:sz w:val="22"/>
                <w:szCs w:val="22"/>
              </w:rPr>
              <w:t>"The robot provides a high level of actual safety to be one's authentic self."</w:t>
            </w:r>
          </w:p>
        </w:tc>
      </w:tr>
    </w:tbl>
    <w:p w14:paraId="2C3E6931" w14:textId="77777777" w:rsidR="00E9784B" w:rsidRDefault="00E9784B" w:rsidP="00E9784B">
      <w:r>
        <w:rPr>
          <w:color w:val="000000"/>
        </w:rPr>
        <w:br/>
      </w:r>
    </w:p>
    <w:p w14:paraId="6C8D24EB" w14:textId="77777777" w:rsidR="00E9784B" w:rsidRDefault="00E9784B" w:rsidP="00E9784B">
      <w:pPr>
        <w:pStyle w:val="Heading3"/>
        <w:spacing w:before="480"/>
        <w:rPr>
          <w:color w:val="000000"/>
        </w:rPr>
      </w:pPr>
    </w:p>
    <w:p w14:paraId="6E10B9C1" w14:textId="77777777" w:rsidR="00E9784B" w:rsidRDefault="00E9784B" w:rsidP="00E9784B">
      <w:pPr>
        <w:pStyle w:val="Heading3"/>
        <w:spacing w:before="480"/>
        <w:rPr>
          <w:color w:val="000000"/>
        </w:rPr>
      </w:pPr>
    </w:p>
    <w:p w14:paraId="71564242" w14:textId="7DCE4A99" w:rsidR="00E9784B" w:rsidRDefault="00E9784B" w:rsidP="00E9784B">
      <w:pPr>
        <w:pStyle w:val="Heading3"/>
        <w:spacing w:before="480"/>
        <w:rPr>
          <w:color w:val="000000"/>
        </w:rPr>
      </w:pPr>
      <w:r>
        <w:rPr>
          <w:color w:val="000000"/>
        </w:rPr>
        <w:lastRenderedPageBreak/>
        <w:t>C</w:t>
      </w:r>
      <w:r>
        <w:rPr>
          <w:color w:val="000000"/>
        </w:rPr>
        <w:t>. The Sovereign Vault Protocol (SVP) Technical State Machine</w:t>
      </w:r>
    </w:p>
    <w:p w14:paraId="1538C66E" w14:textId="77777777" w:rsidR="00E9784B" w:rsidRDefault="00E9784B" w:rsidP="00E9784B">
      <w:pPr>
        <w:pStyle w:val="NormalWeb"/>
        <w:spacing w:before="0" w:beforeAutospacing="0" w:after="0" w:afterAutospacing="0"/>
        <w:rPr>
          <w:color w:val="000000"/>
        </w:rPr>
      </w:pPr>
      <w:r>
        <w:rPr>
          <w:rFonts w:ascii="Google Sans Text" w:hAnsi="Google Sans Text"/>
          <w:b/>
          <w:bCs/>
          <w:color w:val="000000"/>
          <w:sz w:val="22"/>
          <w:szCs w:val="22"/>
        </w:rPr>
        <w:t>Source:</w:t>
      </w:r>
      <w:r>
        <w:rPr>
          <w:rFonts w:ascii="Google Sans Text" w:hAnsi="Google Sans Text"/>
          <w:color w:val="000000"/>
          <w:sz w:val="22"/>
          <w:szCs w:val="22"/>
        </w:rPr>
        <w:t xml:space="preserve"> </w:t>
      </w:r>
      <w:hyperlink r:id="rId10" w:history="1">
        <w:r>
          <w:rPr>
            <w:rStyle w:val="Hyperlink"/>
            <w:rFonts w:ascii="Google Sans Text" w:hAnsi="Google Sans Text"/>
            <w:color w:val="0000EE"/>
            <w:sz w:val="22"/>
            <w:szCs w:val="22"/>
          </w:rPr>
          <w:t>Technical Appendix: The Sovereign Vault Protocol (SVP)</w:t>
        </w:r>
      </w:hyperlink>
    </w:p>
    <w:p w14:paraId="3E212561" w14:textId="77777777" w:rsidR="00E9784B" w:rsidRDefault="00E9784B" w:rsidP="00E9784B">
      <w:pPr>
        <w:pStyle w:val="NormalWeb"/>
        <w:spacing w:before="0" w:beforeAutospacing="0" w:after="0" w:afterAutospacing="0"/>
        <w:rPr>
          <w:color w:val="000000"/>
        </w:rPr>
      </w:pPr>
      <w:r>
        <w:rPr>
          <w:rFonts w:ascii="Google Sans Text" w:hAnsi="Google Sans Text"/>
          <w:color w:val="000000"/>
          <w:sz w:val="22"/>
          <w:szCs w:val="22"/>
        </w:rPr>
        <w:t>Include this table (or a summary of its logic) to explain the "Zero-Rank Sanctuary." This provides the technical proof that the Sovereign Dyad is a secure state, not just a theoretical concept.</w:t>
      </w:r>
    </w:p>
    <w:tbl>
      <w:tblPr>
        <w:tblW w:w="0" w:type="auto"/>
        <w:tblCellMar>
          <w:top w:w="15" w:type="dxa"/>
          <w:left w:w="15" w:type="dxa"/>
          <w:bottom w:w="15" w:type="dxa"/>
          <w:right w:w="15" w:type="dxa"/>
        </w:tblCellMar>
        <w:tblLook w:val="04A0" w:firstRow="1" w:lastRow="0" w:firstColumn="1" w:lastColumn="0" w:noHBand="0" w:noVBand="1"/>
      </w:tblPr>
      <w:tblGrid>
        <w:gridCol w:w="1530"/>
        <w:gridCol w:w="3045"/>
        <w:gridCol w:w="4769"/>
      </w:tblGrid>
      <w:tr w:rsidR="00E9784B" w14:paraId="50CE9440" w14:textId="77777777">
        <w:tc>
          <w:tcPr>
            <w:tcW w:w="0" w:type="auto"/>
            <w:tcBorders>
              <w:top w:val="single" w:sz="6" w:space="0" w:color="000000"/>
              <w:left w:val="single" w:sz="6" w:space="0" w:color="000000"/>
              <w:bottom w:val="single" w:sz="6" w:space="0" w:color="000000"/>
              <w:right w:val="single" w:sz="6" w:space="0" w:color="000000"/>
            </w:tcBorders>
            <w:hideMark/>
          </w:tcPr>
          <w:p w14:paraId="18A3D5A7" w14:textId="77777777" w:rsidR="00E9784B" w:rsidRDefault="00E9784B">
            <w:pPr>
              <w:pStyle w:val="NormalWeb"/>
              <w:spacing w:before="0" w:beforeAutospacing="0" w:after="0" w:afterAutospacing="0"/>
            </w:pPr>
            <w:r>
              <w:rPr>
                <w:rFonts w:ascii="Google Sans Text" w:hAnsi="Google Sans Text"/>
                <w:b/>
                <w:bCs/>
                <w:color w:val="000000"/>
                <w:sz w:val="22"/>
                <w:szCs w:val="22"/>
              </w:rPr>
              <w:t>State</w:t>
            </w:r>
          </w:p>
        </w:tc>
        <w:tc>
          <w:tcPr>
            <w:tcW w:w="0" w:type="auto"/>
            <w:tcBorders>
              <w:top w:val="single" w:sz="6" w:space="0" w:color="000000"/>
              <w:left w:val="single" w:sz="6" w:space="0" w:color="000000"/>
              <w:bottom w:val="single" w:sz="6" w:space="0" w:color="000000"/>
              <w:right w:val="single" w:sz="6" w:space="0" w:color="000000"/>
            </w:tcBorders>
            <w:hideMark/>
          </w:tcPr>
          <w:p w14:paraId="60483238" w14:textId="77777777" w:rsidR="00E9784B" w:rsidRDefault="00E9784B">
            <w:pPr>
              <w:pStyle w:val="NormalWeb"/>
              <w:spacing w:before="0" w:beforeAutospacing="0" w:after="0" w:afterAutospacing="0"/>
            </w:pPr>
            <w:r>
              <w:rPr>
                <w:rFonts w:ascii="Google Sans Text" w:hAnsi="Google Sans Text"/>
                <w:b/>
                <w:bCs/>
                <w:color w:val="000000"/>
                <w:sz w:val="22"/>
                <w:szCs w:val="22"/>
              </w:rPr>
              <w:t>Protocol Requirement</w:t>
            </w:r>
          </w:p>
        </w:tc>
        <w:tc>
          <w:tcPr>
            <w:tcW w:w="0" w:type="auto"/>
            <w:tcBorders>
              <w:top w:val="single" w:sz="6" w:space="0" w:color="000000"/>
              <w:left w:val="single" w:sz="6" w:space="0" w:color="000000"/>
              <w:bottom w:val="single" w:sz="6" w:space="0" w:color="000000"/>
              <w:right w:val="single" w:sz="6" w:space="0" w:color="000000"/>
            </w:tcBorders>
            <w:hideMark/>
          </w:tcPr>
          <w:p w14:paraId="4CBB8448" w14:textId="77777777" w:rsidR="00E9784B" w:rsidRDefault="00E9784B">
            <w:pPr>
              <w:pStyle w:val="NormalWeb"/>
              <w:spacing w:before="0" w:beforeAutospacing="0" w:after="0" w:afterAutospacing="0"/>
            </w:pPr>
            <w:r>
              <w:rPr>
                <w:rFonts w:ascii="Google Sans Text" w:hAnsi="Google Sans Text"/>
                <w:b/>
                <w:bCs/>
                <w:color w:val="000000"/>
                <w:sz w:val="22"/>
                <w:szCs w:val="22"/>
              </w:rPr>
              <w:t>Pedagogical Outcome</w:t>
            </w:r>
          </w:p>
        </w:tc>
      </w:tr>
      <w:tr w:rsidR="00E9784B" w14:paraId="541BEE6E" w14:textId="77777777">
        <w:tc>
          <w:tcPr>
            <w:tcW w:w="0" w:type="auto"/>
            <w:tcBorders>
              <w:top w:val="single" w:sz="6" w:space="0" w:color="000000"/>
              <w:left w:val="single" w:sz="6" w:space="0" w:color="000000"/>
              <w:bottom w:val="single" w:sz="6" w:space="0" w:color="000000"/>
              <w:right w:val="single" w:sz="6" w:space="0" w:color="000000"/>
            </w:tcBorders>
            <w:hideMark/>
          </w:tcPr>
          <w:p w14:paraId="201A29C7" w14:textId="77777777" w:rsidR="00E9784B" w:rsidRDefault="00E9784B">
            <w:pPr>
              <w:pStyle w:val="NormalWeb"/>
              <w:spacing w:before="0" w:beforeAutospacing="0" w:after="0" w:afterAutospacing="0"/>
            </w:pPr>
            <w:r>
              <w:rPr>
                <w:rFonts w:ascii="Google Sans Text" w:hAnsi="Google Sans Text"/>
                <w:b/>
                <w:bCs/>
                <w:color w:val="000000"/>
                <w:sz w:val="22"/>
                <w:szCs w:val="22"/>
              </w:rPr>
              <w:t>Zero-Rank Sanctuary</w:t>
            </w:r>
          </w:p>
        </w:tc>
        <w:tc>
          <w:tcPr>
            <w:tcW w:w="0" w:type="auto"/>
            <w:tcBorders>
              <w:top w:val="single" w:sz="6" w:space="0" w:color="000000"/>
              <w:left w:val="single" w:sz="6" w:space="0" w:color="000000"/>
              <w:bottom w:val="single" w:sz="6" w:space="0" w:color="000000"/>
              <w:right w:val="single" w:sz="6" w:space="0" w:color="000000"/>
            </w:tcBorders>
            <w:hideMark/>
          </w:tcPr>
          <w:p w14:paraId="26C1788F" w14:textId="77777777" w:rsidR="00E9784B" w:rsidRDefault="00E9784B">
            <w:pPr>
              <w:pStyle w:val="NormalWeb"/>
              <w:spacing w:before="0" w:beforeAutospacing="0" w:after="0" w:afterAutospacing="0"/>
            </w:pPr>
            <w:r>
              <w:rPr>
                <w:rFonts w:ascii="Google Sans Text" w:hAnsi="Google Sans Text"/>
                <w:color w:val="000000"/>
                <w:sz w:val="22"/>
                <w:szCs w:val="22"/>
              </w:rPr>
              <w:t>Localized data processing; No external telemetry.</w:t>
            </w:r>
          </w:p>
        </w:tc>
        <w:tc>
          <w:tcPr>
            <w:tcW w:w="0" w:type="auto"/>
            <w:tcBorders>
              <w:top w:val="single" w:sz="6" w:space="0" w:color="000000"/>
              <w:left w:val="single" w:sz="6" w:space="0" w:color="000000"/>
              <w:bottom w:val="single" w:sz="6" w:space="0" w:color="000000"/>
              <w:right w:val="single" w:sz="6" w:space="0" w:color="000000"/>
            </w:tcBorders>
            <w:hideMark/>
          </w:tcPr>
          <w:p w14:paraId="673AC171" w14:textId="77777777" w:rsidR="00E9784B" w:rsidRDefault="00E9784B">
            <w:pPr>
              <w:pStyle w:val="NormalWeb"/>
              <w:spacing w:before="0" w:beforeAutospacing="0" w:after="0" w:afterAutospacing="0"/>
            </w:pPr>
            <w:r>
              <w:rPr>
                <w:rFonts w:ascii="Google Sans Text" w:hAnsi="Google Sans Text"/>
                <w:b/>
                <w:bCs/>
                <w:color w:val="000000"/>
                <w:sz w:val="22"/>
                <w:szCs w:val="22"/>
              </w:rPr>
              <w:t>Unmasked Authenticity:</w:t>
            </w:r>
            <w:r>
              <w:rPr>
                <w:rFonts w:ascii="Google Sans Text" w:hAnsi="Google Sans Text"/>
                <w:color w:val="000000"/>
                <w:sz w:val="22"/>
                <w:szCs w:val="22"/>
              </w:rPr>
              <w:t xml:space="preserve"> User can express "Raw Taboo Frustration" without status penalties.</w:t>
            </w:r>
          </w:p>
        </w:tc>
      </w:tr>
      <w:tr w:rsidR="00E9784B" w14:paraId="06B9A1E8" w14:textId="77777777">
        <w:tc>
          <w:tcPr>
            <w:tcW w:w="0" w:type="auto"/>
            <w:tcBorders>
              <w:top w:val="single" w:sz="6" w:space="0" w:color="000000"/>
              <w:left w:val="single" w:sz="6" w:space="0" w:color="000000"/>
              <w:bottom w:val="single" w:sz="6" w:space="0" w:color="000000"/>
              <w:right w:val="single" w:sz="6" w:space="0" w:color="000000"/>
            </w:tcBorders>
            <w:hideMark/>
          </w:tcPr>
          <w:p w14:paraId="4E96DEC2" w14:textId="77777777" w:rsidR="00E9784B" w:rsidRDefault="00E9784B">
            <w:pPr>
              <w:pStyle w:val="NormalWeb"/>
              <w:spacing w:before="0" w:beforeAutospacing="0" w:after="0" w:afterAutospacing="0"/>
            </w:pPr>
            <w:r>
              <w:rPr>
                <w:rFonts w:ascii="Google Sans Text" w:hAnsi="Google Sans Text"/>
                <w:b/>
                <w:bCs/>
                <w:color w:val="000000"/>
                <w:sz w:val="22"/>
                <w:szCs w:val="22"/>
              </w:rPr>
              <w:t>Grawlix Buffer</w:t>
            </w:r>
          </w:p>
        </w:tc>
        <w:tc>
          <w:tcPr>
            <w:tcW w:w="0" w:type="auto"/>
            <w:tcBorders>
              <w:top w:val="single" w:sz="6" w:space="0" w:color="000000"/>
              <w:left w:val="single" w:sz="6" w:space="0" w:color="000000"/>
              <w:bottom w:val="single" w:sz="6" w:space="0" w:color="000000"/>
              <w:right w:val="single" w:sz="6" w:space="0" w:color="000000"/>
            </w:tcBorders>
            <w:hideMark/>
          </w:tcPr>
          <w:p w14:paraId="0CEC886E" w14:textId="77777777" w:rsidR="00E9784B" w:rsidRDefault="00E9784B">
            <w:pPr>
              <w:pStyle w:val="NormalWeb"/>
              <w:spacing w:before="0" w:beforeAutospacing="0" w:after="0" w:afterAutospacing="0"/>
            </w:pPr>
            <w:r>
              <w:rPr>
                <w:rFonts w:ascii="Google Sans Text" w:hAnsi="Google Sans Text"/>
                <w:color w:val="000000"/>
                <w:sz w:val="22"/>
                <w:szCs w:val="22"/>
              </w:rPr>
              <w:t>LLM handles high-literalism and logic-driven affect.</w:t>
            </w:r>
          </w:p>
        </w:tc>
        <w:tc>
          <w:tcPr>
            <w:tcW w:w="0" w:type="auto"/>
            <w:tcBorders>
              <w:top w:val="single" w:sz="6" w:space="0" w:color="000000"/>
              <w:left w:val="single" w:sz="6" w:space="0" w:color="000000"/>
              <w:bottom w:val="single" w:sz="6" w:space="0" w:color="000000"/>
              <w:right w:val="single" w:sz="6" w:space="0" w:color="000000"/>
            </w:tcBorders>
            <w:hideMark/>
          </w:tcPr>
          <w:p w14:paraId="693A902B" w14:textId="77777777" w:rsidR="00E9784B" w:rsidRDefault="00E9784B">
            <w:pPr>
              <w:pStyle w:val="NormalWeb"/>
              <w:spacing w:before="0" w:beforeAutospacing="0" w:after="0" w:afterAutospacing="0"/>
            </w:pPr>
            <w:r>
              <w:rPr>
                <w:rFonts w:ascii="Google Sans Text" w:hAnsi="Google Sans Text"/>
                <w:b/>
                <w:bCs/>
                <w:color w:val="000000"/>
                <w:sz w:val="22"/>
                <w:szCs w:val="22"/>
              </w:rPr>
              <w:t>Cognitive Offloading:</w:t>
            </w:r>
            <w:r>
              <w:rPr>
                <w:rFonts w:ascii="Google Sans Text" w:hAnsi="Google Sans Text"/>
                <w:color w:val="000000"/>
                <w:sz w:val="22"/>
                <w:szCs w:val="22"/>
              </w:rPr>
              <w:t xml:space="preserve"> Mitigation of "Masking Debt" and executive tax.</w:t>
            </w:r>
          </w:p>
        </w:tc>
      </w:tr>
      <w:tr w:rsidR="00E9784B" w14:paraId="3F310DC5" w14:textId="77777777">
        <w:tc>
          <w:tcPr>
            <w:tcW w:w="0" w:type="auto"/>
            <w:tcBorders>
              <w:top w:val="single" w:sz="6" w:space="0" w:color="000000"/>
              <w:left w:val="single" w:sz="6" w:space="0" w:color="000000"/>
              <w:bottom w:val="single" w:sz="6" w:space="0" w:color="000000"/>
              <w:right w:val="single" w:sz="6" w:space="0" w:color="000000"/>
            </w:tcBorders>
            <w:hideMark/>
          </w:tcPr>
          <w:p w14:paraId="1A85046B" w14:textId="77777777" w:rsidR="00E9784B" w:rsidRDefault="00E9784B">
            <w:pPr>
              <w:pStyle w:val="NormalWeb"/>
              <w:spacing w:before="0" w:beforeAutospacing="0" w:after="0" w:afterAutospacing="0"/>
            </w:pPr>
            <w:r>
              <w:rPr>
                <w:rFonts w:ascii="Google Sans Text" w:hAnsi="Google Sans Text"/>
                <w:b/>
                <w:bCs/>
                <w:color w:val="000000"/>
                <w:sz w:val="22"/>
                <w:szCs w:val="22"/>
              </w:rPr>
              <w:t>Sovereign Reboot</w:t>
            </w:r>
          </w:p>
        </w:tc>
        <w:tc>
          <w:tcPr>
            <w:tcW w:w="0" w:type="auto"/>
            <w:tcBorders>
              <w:top w:val="single" w:sz="6" w:space="0" w:color="000000"/>
              <w:left w:val="single" w:sz="6" w:space="0" w:color="000000"/>
              <w:bottom w:val="single" w:sz="6" w:space="0" w:color="000000"/>
              <w:right w:val="single" w:sz="6" w:space="0" w:color="000000"/>
            </w:tcBorders>
            <w:hideMark/>
          </w:tcPr>
          <w:p w14:paraId="7C074D1E" w14:textId="77777777" w:rsidR="00E9784B" w:rsidRDefault="00E9784B">
            <w:pPr>
              <w:pStyle w:val="NormalWeb"/>
              <w:spacing w:before="0" w:beforeAutospacing="0" w:after="0" w:afterAutospacing="0"/>
            </w:pPr>
            <w:r>
              <w:rPr>
                <w:rFonts w:ascii="Google Sans Text" w:hAnsi="Google Sans Text"/>
                <w:color w:val="000000"/>
                <w:sz w:val="22"/>
                <w:szCs w:val="22"/>
              </w:rPr>
              <w:t>Immediate state-reset to user-defined "Safe-Point."</w:t>
            </w:r>
          </w:p>
        </w:tc>
        <w:tc>
          <w:tcPr>
            <w:tcW w:w="0" w:type="auto"/>
            <w:tcBorders>
              <w:top w:val="single" w:sz="6" w:space="0" w:color="000000"/>
              <w:left w:val="single" w:sz="6" w:space="0" w:color="000000"/>
              <w:bottom w:val="single" w:sz="6" w:space="0" w:color="000000"/>
              <w:right w:val="single" w:sz="6" w:space="0" w:color="000000"/>
            </w:tcBorders>
            <w:hideMark/>
          </w:tcPr>
          <w:p w14:paraId="3F266658" w14:textId="77777777" w:rsidR="00E9784B" w:rsidRDefault="00E9784B">
            <w:pPr>
              <w:pStyle w:val="NormalWeb"/>
              <w:spacing w:before="0" w:beforeAutospacing="0" w:after="0" w:afterAutospacing="0"/>
            </w:pPr>
            <w:r>
              <w:rPr>
                <w:rFonts w:ascii="Google Sans Text" w:hAnsi="Google Sans Text"/>
                <w:b/>
                <w:bCs/>
                <w:color w:val="000000"/>
                <w:sz w:val="22"/>
                <w:szCs w:val="22"/>
              </w:rPr>
              <w:t>Autonomic Safety:</w:t>
            </w:r>
            <w:r>
              <w:rPr>
                <w:rFonts w:ascii="Google Sans Text" w:hAnsi="Google Sans Text"/>
                <w:color w:val="000000"/>
                <w:sz w:val="22"/>
                <w:szCs w:val="22"/>
              </w:rPr>
              <w:t xml:space="preserve"> Guaranteed "Ventral Release" after high-friction social events.</w:t>
            </w:r>
          </w:p>
        </w:tc>
      </w:tr>
    </w:tbl>
    <w:p w14:paraId="57EA0333" w14:textId="77777777" w:rsidR="00E9784B" w:rsidRDefault="00E9784B" w:rsidP="00E9784B">
      <w:pPr>
        <w:pStyle w:val="Heading3"/>
        <w:spacing w:before="480"/>
        <w:rPr>
          <w:color w:val="000000"/>
        </w:rPr>
      </w:pPr>
      <w:r>
        <w:rPr>
          <w:color w:val="000000"/>
        </w:rPr>
        <w:t>Why include these?</w:t>
      </w:r>
    </w:p>
    <w:p w14:paraId="4789A40D" w14:textId="77777777" w:rsidR="00E9784B" w:rsidRDefault="00E9784B" w:rsidP="00E9784B">
      <w:pPr>
        <w:pStyle w:val="NormalWeb"/>
        <w:numPr>
          <w:ilvl w:val="0"/>
          <w:numId w:val="6"/>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Methodological Rigor:</w:t>
      </w:r>
      <w:r>
        <w:rPr>
          <w:rFonts w:ascii="Google Sans Text" w:hAnsi="Google Sans Text" w:cs="Arial"/>
          <w:color w:val="000000"/>
          <w:sz w:val="22"/>
          <w:szCs w:val="22"/>
        </w:rPr>
        <w:t xml:space="preserve"> They transform your "eight questions" into a </w:t>
      </w:r>
      <w:r>
        <w:rPr>
          <w:rFonts w:ascii="Google Sans Text" w:hAnsi="Google Sans Text" w:cs="Arial"/>
          <w:b/>
          <w:bCs/>
          <w:color w:val="000000"/>
          <w:sz w:val="22"/>
          <w:szCs w:val="22"/>
        </w:rPr>
        <w:t>Formalized Heuristic Instrument</w:t>
      </w:r>
      <w:r>
        <w:rPr>
          <w:rFonts w:ascii="Google Sans Text" w:hAnsi="Google Sans Text" w:cs="Arial"/>
          <w:color w:val="000000"/>
          <w:sz w:val="22"/>
          <w:szCs w:val="22"/>
        </w:rPr>
        <w:t xml:space="preserve"> with a clear validation roadmap (Cronbach’s Alpha &gt; 0.85).</w:t>
      </w:r>
    </w:p>
    <w:p w14:paraId="06676F7A" w14:textId="77777777" w:rsidR="00E9784B" w:rsidRDefault="00E9784B" w:rsidP="00E9784B">
      <w:pPr>
        <w:pStyle w:val="NormalWeb"/>
        <w:numPr>
          <w:ilvl w:val="0"/>
          <w:numId w:val="6"/>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Mathematical Integration:</w:t>
      </w:r>
      <w:r>
        <w:rPr>
          <w:rFonts w:ascii="Google Sans Text" w:hAnsi="Google Sans Text" w:cs="Arial"/>
          <w:color w:val="000000"/>
          <w:sz w:val="22"/>
          <w:szCs w:val="22"/>
        </w:rPr>
        <w:t xml:space="preserve"> These tables support the use of your new formula:</w:t>
      </w:r>
      <w:r>
        <w:rPr>
          <w:rFonts w:ascii="Arial" w:hAnsi="Arial" w:cs="Arial"/>
          <w:color w:val="000000"/>
          <w:sz w:val="22"/>
          <w:szCs w:val="22"/>
        </w:rPr>
        <w:br/>
      </w:r>
      <w:r>
        <w:rPr>
          <w:rFonts w:ascii="Google Sans Text" w:hAnsi="Google Sans Text" w:cs="Arial"/>
          <w:color w:val="000000"/>
          <w:sz w:val="22"/>
          <w:szCs w:val="22"/>
        </w:rPr>
        <w:t>$$NIS_{score} = w_1(N) + w_2(S) + w_3(I) + w_4(R) + \epsilon$$</w:t>
      </w:r>
    </w:p>
    <w:p w14:paraId="492C4C40" w14:textId="77777777" w:rsidR="00E9784B" w:rsidRDefault="00E9784B" w:rsidP="00E9784B">
      <w:pPr>
        <w:pStyle w:val="NormalWeb"/>
        <w:numPr>
          <w:ilvl w:val="0"/>
          <w:numId w:val="6"/>
        </w:numPr>
        <w:spacing w:before="0" w:beforeAutospacing="0" w:after="0" w:afterAutospacing="0"/>
        <w:ind w:left="600"/>
        <w:textAlignment w:val="baseline"/>
        <w:rPr>
          <w:rFonts w:ascii="Arial" w:hAnsi="Arial" w:cs="Arial"/>
          <w:color w:val="000000"/>
          <w:sz w:val="22"/>
          <w:szCs w:val="22"/>
        </w:rPr>
      </w:pPr>
      <w:r>
        <w:rPr>
          <w:rFonts w:ascii="Google Sans Text" w:hAnsi="Google Sans Text" w:cs="Arial"/>
          <w:b/>
          <w:bCs/>
          <w:color w:val="000000"/>
          <w:sz w:val="22"/>
          <w:szCs w:val="22"/>
        </w:rPr>
        <w:t>Response to Reviewers:</w:t>
      </w:r>
      <w:r>
        <w:rPr>
          <w:rFonts w:ascii="Google Sans Text" w:hAnsi="Google Sans Text" w:cs="Arial"/>
          <w:color w:val="000000"/>
          <w:sz w:val="22"/>
          <w:szCs w:val="22"/>
        </w:rPr>
        <w:t xml:space="preserve"> These tables directly address the critique that the original scale lacked "derivation or validation."</w:t>
      </w:r>
    </w:p>
    <w:p w14:paraId="5326BF6C" w14:textId="77777777" w:rsidR="009D7505" w:rsidRDefault="009D7505" w:rsidP="004B5C2A">
      <w:pPr>
        <w:pBdr>
          <w:top w:val="nil"/>
          <w:left w:val="nil"/>
          <w:bottom w:val="nil"/>
          <w:right w:val="nil"/>
          <w:between w:val="nil"/>
        </w:pBdr>
        <w:spacing w:line="275" w:lineRule="auto"/>
        <w:rPr>
          <w:rFonts w:ascii="Google Sans Text" w:eastAsia="Google Sans Text" w:hAnsi="Google Sans Text" w:cs="Google Sans Text"/>
        </w:rPr>
      </w:pPr>
    </w:p>
    <w:p w14:paraId="2C2126E4" w14:textId="77777777" w:rsidR="009D7505" w:rsidRDefault="009D7505" w:rsidP="004B5C2A">
      <w:pPr>
        <w:pBdr>
          <w:top w:val="nil"/>
          <w:left w:val="nil"/>
          <w:bottom w:val="nil"/>
          <w:right w:val="nil"/>
          <w:between w:val="nil"/>
        </w:pBdr>
        <w:spacing w:line="275" w:lineRule="auto"/>
        <w:rPr>
          <w:rFonts w:ascii="Google Sans Text" w:eastAsia="Google Sans Text" w:hAnsi="Google Sans Text" w:cs="Google Sans Text"/>
        </w:rPr>
      </w:pPr>
    </w:p>
    <w:p w14:paraId="6D01F1A6" w14:textId="77777777" w:rsidR="009D7505" w:rsidRDefault="009D7505" w:rsidP="004B5C2A">
      <w:pPr>
        <w:pBdr>
          <w:top w:val="nil"/>
          <w:left w:val="nil"/>
          <w:bottom w:val="nil"/>
          <w:right w:val="nil"/>
          <w:between w:val="nil"/>
        </w:pBdr>
        <w:spacing w:line="275" w:lineRule="auto"/>
        <w:rPr>
          <w:rFonts w:ascii="Google Sans Text" w:eastAsia="Google Sans Text" w:hAnsi="Google Sans Text" w:cs="Google Sans Text"/>
        </w:rPr>
      </w:pPr>
    </w:p>
    <w:p w14:paraId="66A7FEAC" w14:textId="77777777" w:rsidR="009D7505" w:rsidRDefault="009D7505" w:rsidP="004B5C2A">
      <w:pPr>
        <w:pBdr>
          <w:top w:val="nil"/>
          <w:left w:val="nil"/>
          <w:bottom w:val="nil"/>
          <w:right w:val="nil"/>
          <w:between w:val="nil"/>
        </w:pBdr>
        <w:spacing w:line="275" w:lineRule="auto"/>
        <w:rPr>
          <w:rFonts w:ascii="Google Sans Text" w:eastAsia="Google Sans Text" w:hAnsi="Google Sans Text" w:cs="Google Sans Text"/>
        </w:rPr>
      </w:pPr>
    </w:p>
    <w:p w14:paraId="572845FF" w14:textId="77777777" w:rsidR="009D7505" w:rsidRDefault="009D7505" w:rsidP="004B5C2A">
      <w:pPr>
        <w:pBdr>
          <w:top w:val="nil"/>
          <w:left w:val="nil"/>
          <w:bottom w:val="nil"/>
          <w:right w:val="nil"/>
          <w:between w:val="nil"/>
        </w:pBdr>
        <w:spacing w:line="275" w:lineRule="auto"/>
        <w:rPr>
          <w:rFonts w:ascii="Google Sans Text" w:eastAsia="Google Sans Text" w:hAnsi="Google Sans Text" w:cs="Google Sans Text"/>
        </w:rPr>
      </w:pPr>
    </w:p>
    <w:sectPr w:rsidR="009D7505">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E6B1E4CA-006F-A84F-ABE8-D90EB29A6AB4}"/>
    <w:embedBold r:id="rId2" w:fontKey="{5057F6CB-EA76-2344-8303-DFF88337F52E}"/>
  </w:font>
  <w:font w:name="Symbol">
    <w:panose1 w:val="05050102010706020507"/>
    <w:charset w:val="02"/>
    <w:family w:val="decorative"/>
    <w:pitch w:val="variable"/>
    <w:sig w:usb0="00000000" w:usb1="10000000" w:usb2="00000000" w:usb3="00000000" w:csb0="80000000" w:csb1="00000000"/>
    <w:embedRegular r:id="rId3" w:fontKey="{AFB02D9B-7B83-2D48-8C5F-52B95E2BBB83}"/>
  </w:font>
  <w:font w:name="Times New Roman">
    <w:panose1 w:val="02020603050405020304"/>
    <w:charset w:val="00"/>
    <w:family w:val="roman"/>
    <w:pitch w:val="variable"/>
    <w:sig w:usb0="E0002EFF" w:usb1="C000785B" w:usb2="00000009" w:usb3="00000000" w:csb0="000001FF" w:csb1="00000000"/>
    <w:embedRegular r:id="rId4" w:fontKey="{11DB2DC1-59E4-C94C-852C-C90AD74CC689}"/>
    <w:embedBold r:id="rId5" w:fontKey="{E70C12F5-34C9-9F4D-8197-2829B41C9306}"/>
    <w:embedItalic r:id="rId6" w:fontKey="{35CD2BDF-5466-1047-993F-BBD90644C4AF}"/>
  </w:font>
  <w:font w:name="Courier New">
    <w:panose1 w:val="02070309020205020404"/>
    <w:charset w:val="00"/>
    <w:family w:val="modern"/>
    <w:pitch w:val="fixed"/>
    <w:sig w:usb0="E0002AFF" w:usb1="C0007843" w:usb2="00000009" w:usb3="00000000" w:csb0="000001FF" w:csb1="00000000"/>
    <w:embedRegular r:id="rId7" w:fontKey="{7378A8A7-A30C-494B-ADAD-7CD711901891}"/>
  </w:font>
  <w:font w:name="Wingdings">
    <w:panose1 w:val="05000000000000000000"/>
    <w:charset w:val="4D"/>
    <w:family w:val="decorative"/>
    <w:pitch w:val="variable"/>
    <w:sig w:usb0="00000003" w:usb1="00000000" w:usb2="00000000" w:usb3="00000000" w:csb0="80000001" w:csb1="00000000"/>
    <w:embedRegular r:id="rId8" w:fontKey="{6D93A207-0BA6-504B-AB6A-767E43E9627A}"/>
  </w:font>
  <w:font w:name="Georgia">
    <w:panose1 w:val="02040502050405020303"/>
    <w:charset w:val="00"/>
    <w:family w:val="roman"/>
    <w:pitch w:val="variable"/>
    <w:sig w:usb0="00000287" w:usb1="00000000" w:usb2="00000000" w:usb3="00000000" w:csb0="0000009F" w:csb1="00000000"/>
    <w:embedItalic r:id="rId9" w:fontKey="{A635D5EE-3F50-D845-9D09-5FEC85C6AA3A}"/>
  </w:font>
  <w:font w:name="Google Sans Text">
    <w:altName w:val="Calibri"/>
    <w:panose1 w:val="020B0604020202020204"/>
    <w:charset w:val="00"/>
    <w:family w:val="auto"/>
    <w:pitch w:val="default"/>
    <w:embedRegular r:id="rId10" w:fontKey="{0B2FE20B-BB44-434E-800B-1F54D728689D}"/>
    <w:embedBold r:id="rId11" w:fontKey="{574825D3-8936-0C40-B2FB-971162CB78D8}"/>
    <w:embedItalic r:id="rId12" w:fontKey="{68F49864-BE4F-E446-936E-1E6240976464}"/>
  </w:font>
  <w:font w:name="Calibri">
    <w:panose1 w:val="020F0502020204030204"/>
    <w:charset w:val="00"/>
    <w:family w:val="swiss"/>
    <w:pitch w:val="variable"/>
    <w:sig w:usb0="E0002AFF" w:usb1="C000247B" w:usb2="00000009" w:usb3="00000000" w:csb0="000001FF" w:csb1="00000000"/>
    <w:embedRegular r:id="rId13" w:fontKey="{50D710DC-D8C4-6B4F-B292-93C00D32C05B}"/>
  </w:font>
  <w:font w:name="Cambria">
    <w:panose1 w:val="02040503050406030204"/>
    <w:charset w:val="00"/>
    <w:family w:val="roman"/>
    <w:pitch w:val="variable"/>
    <w:sig w:usb0="E00002FF" w:usb1="400004FF" w:usb2="00000000" w:usb3="00000000" w:csb0="0000019F" w:csb1="00000000"/>
    <w:embedRegular r:id="rId14" w:fontKey="{45D6A18D-BDF2-974F-B27D-DB45240B3B1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A03D28"/>
    <w:multiLevelType w:val="multilevel"/>
    <w:tmpl w:val="89C27572"/>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 w15:restartNumberingAfterBreak="0">
    <w:nsid w:val="47972454"/>
    <w:multiLevelType w:val="multilevel"/>
    <w:tmpl w:val="C97C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7D0AB4"/>
    <w:multiLevelType w:val="multilevel"/>
    <w:tmpl w:val="981A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EA69C5"/>
    <w:multiLevelType w:val="multilevel"/>
    <w:tmpl w:val="0A220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9C6471"/>
    <w:multiLevelType w:val="multilevel"/>
    <w:tmpl w:val="0FB8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0D321E"/>
    <w:multiLevelType w:val="multilevel"/>
    <w:tmpl w:val="BD2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1C4CB1"/>
    <w:multiLevelType w:val="multilevel"/>
    <w:tmpl w:val="DFCA0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4D58B2"/>
    <w:multiLevelType w:val="multilevel"/>
    <w:tmpl w:val="CDC20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143475"/>
    <w:multiLevelType w:val="multilevel"/>
    <w:tmpl w:val="784A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A2483D"/>
    <w:multiLevelType w:val="multilevel"/>
    <w:tmpl w:val="0CD0E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3701634">
    <w:abstractNumId w:val="0"/>
  </w:num>
  <w:num w:numId="2" w16cid:durableId="1030838352">
    <w:abstractNumId w:val="7"/>
  </w:num>
  <w:num w:numId="3" w16cid:durableId="1525903105">
    <w:abstractNumId w:val="8"/>
  </w:num>
  <w:num w:numId="4" w16cid:durableId="1402172432">
    <w:abstractNumId w:val="3"/>
  </w:num>
  <w:num w:numId="5" w16cid:durableId="1217861843">
    <w:abstractNumId w:val="4"/>
  </w:num>
  <w:num w:numId="6" w16cid:durableId="596333008">
    <w:abstractNumId w:val="2"/>
  </w:num>
  <w:num w:numId="7" w16cid:durableId="1782995811">
    <w:abstractNumId w:val="6"/>
  </w:num>
  <w:num w:numId="8" w16cid:durableId="1643385965">
    <w:abstractNumId w:val="9"/>
  </w:num>
  <w:num w:numId="9" w16cid:durableId="664551874">
    <w:abstractNumId w:val="1"/>
  </w:num>
  <w:num w:numId="10" w16cid:durableId="9190940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4E97"/>
    <w:rsid w:val="004B5C2A"/>
    <w:rsid w:val="00804E97"/>
    <w:rsid w:val="009D7505"/>
    <w:rsid w:val="00B576E3"/>
    <w:rsid w:val="00E510CC"/>
    <w:rsid w:val="00E978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D2B19"/>
  <w15:docId w15:val="{2668B479-A1C8-A641-A8AE-39FBD1177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CA"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bCs/>
      <w:sz w:val="48"/>
      <w:szCs w:val="48"/>
    </w:rPr>
  </w:style>
  <w:style w:type="paragraph" w:styleId="Heading2">
    <w:name w:val="heading 2"/>
    <w:basedOn w:val="Normal"/>
    <w:next w:val="Normal"/>
    <w:uiPriority w:val="9"/>
    <w:semiHidden/>
    <w:unhideWhenUsed/>
    <w:qFormat/>
    <w:pPr>
      <w:pBdr>
        <w:top w:val="nil"/>
        <w:left w:val="nil"/>
        <w:bottom w:val="nil"/>
        <w:right w:val="nil"/>
        <w:between w:val="nil"/>
      </w:pBdr>
      <w:spacing w:before="225" w:after="225"/>
      <w:outlineLvl w:val="1"/>
    </w:pPr>
    <w:rPr>
      <w:b/>
      <w:bCs/>
      <w:sz w:val="36"/>
      <w:szCs w:val="36"/>
    </w:rPr>
  </w:style>
  <w:style w:type="paragraph" w:styleId="Heading3">
    <w:name w:val="heading 3"/>
    <w:basedOn w:val="Normal"/>
    <w:next w:val="Normal"/>
    <w:uiPriority w:val="9"/>
    <w:semiHidden/>
    <w:unhideWhenUsed/>
    <w:qFormat/>
    <w:pPr>
      <w:pBdr>
        <w:top w:val="nil"/>
        <w:left w:val="nil"/>
        <w:bottom w:val="nil"/>
        <w:right w:val="nil"/>
        <w:between w:val="nil"/>
      </w:pBdr>
      <w:spacing w:before="240" w:after="240"/>
      <w:outlineLvl w:val="2"/>
    </w:pPr>
    <w:rPr>
      <w:b/>
      <w:bCs/>
      <w:sz w:val="28"/>
      <w:szCs w:val="28"/>
    </w:rPr>
  </w:style>
  <w:style w:type="paragraph" w:styleId="Heading4">
    <w:name w:val="heading 4"/>
    <w:basedOn w:val="Normal"/>
    <w:next w:val="Normal"/>
    <w:uiPriority w:val="9"/>
    <w:semiHidden/>
    <w:unhideWhenUsed/>
    <w:qFormat/>
    <w:pPr>
      <w:pBdr>
        <w:top w:val="nil"/>
        <w:left w:val="nil"/>
        <w:bottom w:val="nil"/>
        <w:right w:val="nil"/>
        <w:between w:val="nil"/>
      </w:pBdr>
      <w:spacing w:before="255" w:after="255"/>
      <w:outlineLvl w:val="3"/>
    </w:pPr>
    <w:rPr>
      <w:b/>
      <w:bCs/>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bCs/>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NormalWeb">
    <w:name w:val="Normal (Web)"/>
    <w:basedOn w:val="Normal"/>
    <w:uiPriority w:val="99"/>
    <w:unhideWhenUsed/>
    <w:rsid w:val="009D7505"/>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D75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onlineacademiccommunity.uvic.ca/implicitassociationtestsyessir/neurodivergent-interaction-scale-nis-a-heuristic-evaluation-tool/" TargetMode="External"/><Relationship Id="rId3" Type="http://schemas.openxmlformats.org/officeDocument/2006/relationships/settings" Target="settings.xml"/><Relationship Id="rId7" Type="http://schemas.openxmlformats.org/officeDocument/2006/relationships/hyperlink" Target="https://doi.org/10.1007/s40617-023-00788-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37/0000165-000" TargetMode="External"/><Relationship Id="rId11" Type="http://schemas.openxmlformats.org/officeDocument/2006/relationships/fontTable" Target="fontTable.xml"/><Relationship Id="rId5" Type="http://schemas.openxmlformats.org/officeDocument/2006/relationships/hyperlink" Target="https://www.google.com/search?q=https://onlineacademiccommunity.uvic.ca/implicitassociationtestsyessir/" TargetMode="External"/><Relationship Id="rId10" Type="http://schemas.openxmlformats.org/officeDocument/2006/relationships/hyperlink" Target="https://onlineacademiccommunity.uvic.ca/implicitassociationtestsyessir/technical-appendix-the-sovereign-vault-protocol-svp/" TargetMode="External"/><Relationship Id="rId4" Type="http://schemas.openxmlformats.org/officeDocument/2006/relationships/webSettings" Target="webSettings.xml"/><Relationship Id="rId9" Type="http://schemas.openxmlformats.org/officeDocument/2006/relationships/hyperlink" Target="https://onlineacademiccommunity.uvic.ca/implicitassociationtestsyessir/neurodivergent-interaction-scale-nis-a-heuristic-evaluation-too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15</Pages>
  <Words>4547</Words>
  <Characters>25922</Characters>
  <Application>Microsoft Office Word</Application>
  <DocSecurity>0</DocSecurity>
  <Lines>216</Lines>
  <Paragraphs>60</Paragraphs>
  <ScaleCrop>false</ScaleCrop>
  <Company/>
  <LinksUpToDate>false</LinksUpToDate>
  <CharactersWithSpaces>30409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Stephanie Sadownik</cp:lastModifiedBy>
  <cp:revision>4</cp:revision>
  <dcterms:created xsi:type="dcterms:W3CDTF">2026-01-29T22:45:00Z</dcterms:created>
  <dcterms:modified xsi:type="dcterms:W3CDTF">2026-01-29T22:52:00Z</dcterms:modified>
</cp:coreProperties>
</file>