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Based on the manuscripts and research themes from the "Implicit Association Tests: Yes, Sir!" project at the University of Victoria, I have transposed the documents into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Reference Matrix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matrix categorizes the work by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Framework Pillar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Core Thesis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Associated Manuscripts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illustrating how the "Sovereign Dyad" and "NSIR" (Neurodivergent Scale for Interacting with Robots) interact with social and technical systems.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The Sovereign Dyad &amp; NSIR Reference Matrix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Framework Pillar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Core Research Thesis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Key Manuscripts / Documents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Bionic Agency &amp; Sovereignty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Proposes that HRI and LLMs should serve as "social exoskeletons" that protect neurodivergent autonomy rather than enforcing compliance.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i w:val="1"/>
                <w:i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•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i w:val="1"/>
                <w:iCs w:val="1"/>
                <w:rtl w:val="0"/>
              </w:rPr>
              <w:t xml:space="preserve">Engineering Affective Sovereignty</w:t>
            </w:r>
          </w:p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i w:val="1"/>
                <w:i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•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i w:val="1"/>
                <w:iCs w:val="1"/>
                <w:rtl w:val="0"/>
              </w:rPr>
              <w:t xml:space="preserve">The Sovereign Dyad: A Neuro-Affirming Architecture</w:t>
            </w:r>
          </w:p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i w:val="1"/>
                <w:i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•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i w:val="1"/>
                <w:iCs w:val="1"/>
                <w:rtl w:val="0"/>
              </w:rPr>
              <w:t xml:space="preserve">The Digital Ramp: Gemini in School Districts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Tactical Submissiveness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Investigates "submissiveness" not as a deficit, but as a strategic tool for de-escalation and mitigating empathy erosion in high-stakes environments.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i w:val="1"/>
                <w:i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•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i w:val="1"/>
                <w:iCs w:val="1"/>
                <w:rtl w:val="0"/>
              </w:rPr>
              <w:t xml:space="preserve">Tactical Submissiveness: Decoupling Signal from Gender</w:t>
            </w:r>
          </w:p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i w:val="1"/>
                <w:i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•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i w:val="1"/>
                <w:iCs w:val="1"/>
                <w:rtl w:val="0"/>
              </w:rPr>
              <w:t xml:space="preserve">Mechanical Elicitation of Prosociality</w:t>
            </w:r>
          </w:p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i w:val="1"/>
                <w:i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•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i w:val="1"/>
                <w:iCs w:val="1"/>
                <w:rtl w:val="0"/>
              </w:rPr>
              <w:t xml:space="preserve">Beyond the Warrior Model (MDS Mitigation)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Psychometric Validation (NSIR)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Develops the Neurodivergent Scale for Interacting with Robots (NSIR) to measure kinship, trust, and "sovereign" interaction styles.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i w:val="1"/>
                <w:i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•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i w:val="1"/>
                <w:iCs w:val="1"/>
                <w:rtl w:val="0"/>
              </w:rPr>
              <w:t xml:space="preserve">The NSIR: A Psychometric Approach</w:t>
            </w:r>
          </w:p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i w:val="1"/>
                <w:i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•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i w:val="1"/>
                <w:iCs w:val="1"/>
                <w:rtl w:val="0"/>
              </w:rPr>
              <w:t xml:space="preserve">Beyond Compliance: Validating the NSIR</w:t>
            </w:r>
          </w:p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i w:val="1"/>
                <w:i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•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i w:val="1"/>
                <w:iCs w:val="1"/>
                <w:rtl w:val="0"/>
              </w:rPr>
              <w:t xml:space="preserve">Validation Analysis of Table 79 NSIR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Cognitive Styles &amp; AI Friction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Explores the "Double Empathy Problem" and how LLM-mediated communication can bridge the gap between neurotypes.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i w:val="1"/>
                <w:i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•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i w:val="1"/>
                <w:iCs w:val="1"/>
                <w:rtl w:val="0"/>
              </w:rPr>
              <w:t xml:space="preserve">The AI Multiplier: Comparative Analysis</w:t>
            </w:r>
          </w:p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i w:val="1"/>
                <w:i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•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i w:val="1"/>
                <w:iCs w:val="1"/>
                <w:rtl w:val="0"/>
              </w:rPr>
              <w:t xml:space="preserve">Beyond the "Yes-Man": Managing Pedagogical Friction</w:t>
            </w:r>
          </w:p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i w:val="1"/>
                <w:i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•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i w:val="1"/>
                <w:iCs w:val="1"/>
                <w:rtl w:val="0"/>
              </w:rPr>
              <w:t xml:space="preserve">The Autistic Grawlix: Symbolic Substitution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Systemic &amp; Policy Integration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Focuses on the legal and structural "exoskeleton" required to protect neurodivergent data and agency in institutional settings.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i w:val="1"/>
                <w:i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•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i w:val="1"/>
                <w:iCs w:val="1"/>
                <w:rtl w:val="0"/>
              </w:rPr>
              <w:t xml:space="preserve">The Legal Shield: Data Sovereignty</w:t>
            </w:r>
          </w:p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i w:val="1"/>
                <w:i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•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i w:val="1"/>
                <w:iCs w:val="1"/>
                <w:rtl w:val="0"/>
              </w:rPr>
              <w:t xml:space="preserve">The Bionic Lens: Brunswikian Analysis</w:t>
            </w:r>
          </w:p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i w:val="1"/>
                <w:i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•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i w:val="1"/>
                <w:iCs w:val="1"/>
                <w:rtl w:val="0"/>
              </w:rPr>
              <w:t xml:space="preserve">YES, SIR! (Apprenticeship Model)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Computational &amp; Bio-Signals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Analyzes the technical signals (vocal morphology, facial markers) used to facilitate de-escalation and trust in the HRI dyad.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i w:val="1"/>
                <w:i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•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i w:val="1"/>
                <w:iCs w:val="1"/>
                <w:rtl w:val="0"/>
              </w:rPr>
              <w:t xml:space="preserve">The Honest Index: Multimodal Signal Processing</w:t>
            </w:r>
          </w:p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i w:val="1"/>
                <w:i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•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i w:val="1"/>
                <w:iCs w:val="1"/>
                <w:rtl w:val="0"/>
              </w:rPr>
              <w:t xml:space="preserve">Acoustic Signaling of Submission</w:t>
            </w:r>
          </w:p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i w:val="1"/>
                <w:i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•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i w:val="1"/>
                <w:iCs w:val="1"/>
                <w:rtl w:val="0"/>
              </w:rPr>
              <w:t xml:space="preserve">Biological HRI Social Exoskeleton</w:t>
            </w:r>
          </w:p>
        </w:tc>
      </w:tr>
    </w:tbl>
    <w:p w:rsidR="00000000" w:rsidDel="00000000" w:rsidP="00000000" w:rsidRDefault="00000000" w:rsidRPr="00000000" w14:paraId="0000003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8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Operational Definitions for the Matrix</w:t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Sovereign Dyad: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protected, co-regulatory unit consisting of a human (specifically neurodivergent) and an AI/Robot agent, where the AI acts as a "buffer" against hostile social environments.</w:t>
      </w:r>
    </w:p>
    <w:p w:rsidR="00000000" w:rsidDel="00000000" w:rsidP="00000000" w:rsidRDefault="00000000" w:rsidRPr="00000000" w14:paraId="0000003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NSIR (Neurodivergent Scale for Interacting with Robots):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metric used to assess the quality of interaction based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eural signals,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ocial predictability,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nformation density,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egulatory comfort.</w:t>
      </w:r>
    </w:p>
    <w:p w:rsidR="00000000" w:rsidDel="00000000" w:rsidP="00000000" w:rsidRDefault="00000000" w:rsidRPr="00000000" w14:paraId="0000003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Social Exoskeleton: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theoretical framework where technology (LLMs/Robots) provides the structural support (mentalization, de-escalation, policy protection) that a neurodivergent individual needs to navigate neurotypical systems safely.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 Tex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Text-regular.ttf"/><Relationship Id="rId2" Type="http://schemas.openxmlformats.org/officeDocument/2006/relationships/font" Target="fonts/GoogleSansText-bold.ttf"/><Relationship Id="rId3" Type="http://schemas.openxmlformats.org/officeDocument/2006/relationships/font" Target="fonts/GoogleSansText-italic.ttf"/><Relationship Id="rId4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