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C427AD" w:rsidRPr="00B3532A" w14:paraId="58892C41" w14:textId="77777777" w:rsidTr="00C427AD">
        <w:tc>
          <w:tcPr>
            <w:tcW w:w="2590" w:type="dxa"/>
          </w:tcPr>
          <w:p w14:paraId="3090A365" w14:textId="2A108DE7" w:rsidR="00C427AD" w:rsidRPr="00D4154E" w:rsidRDefault="0055587A">
            <w:pPr>
              <w:rPr>
                <w:rFonts w:ascii="Times New Roman" w:hAnsi="Times New Roman" w:cs="Times New Roman"/>
                <w:b/>
                <w:bCs/>
              </w:rPr>
            </w:pPr>
            <w:r w:rsidRPr="00D4154E">
              <w:rPr>
                <w:rFonts w:ascii="Times New Roman" w:hAnsi="Times New Roman" w:cs="Times New Roman"/>
                <w:b/>
                <w:bCs/>
              </w:rPr>
              <w:t>Mental Health</w:t>
            </w:r>
          </w:p>
        </w:tc>
        <w:tc>
          <w:tcPr>
            <w:tcW w:w="2590" w:type="dxa"/>
          </w:tcPr>
          <w:p w14:paraId="37D922F9" w14:textId="7189709B" w:rsidR="00C427AD" w:rsidRPr="00D4154E" w:rsidRDefault="00D4154E">
            <w:pPr>
              <w:rPr>
                <w:rFonts w:ascii="Times New Roman" w:hAnsi="Times New Roman" w:cs="Times New Roman"/>
                <w:b/>
                <w:bCs/>
              </w:rPr>
            </w:pPr>
            <w:r w:rsidRPr="00D4154E">
              <w:rPr>
                <w:rFonts w:ascii="Times New Roman" w:hAnsi="Times New Roman" w:cs="Times New Roman"/>
                <w:b/>
                <w:bCs/>
              </w:rPr>
              <w:t>Social Identity</w:t>
            </w:r>
          </w:p>
        </w:tc>
        <w:tc>
          <w:tcPr>
            <w:tcW w:w="2590" w:type="dxa"/>
          </w:tcPr>
          <w:p w14:paraId="201F76A9" w14:textId="2ADAD0D4" w:rsidR="00C427AD" w:rsidRPr="00D4154E" w:rsidRDefault="0055587A">
            <w:pPr>
              <w:rPr>
                <w:rFonts w:ascii="Times New Roman" w:hAnsi="Times New Roman" w:cs="Times New Roman"/>
                <w:b/>
                <w:bCs/>
              </w:rPr>
            </w:pPr>
            <w:r w:rsidRPr="00D4154E">
              <w:rPr>
                <w:rFonts w:ascii="Times New Roman" w:hAnsi="Times New Roman" w:cs="Times New Roman"/>
                <w:b/>
                <w:bCs/>
              </w:rPr>
              <w:t>Teachers</w:t>
            </w:r>
          </w:p>
        </w:tc>
        <w:tc>
          <w:tcPr>
            <w:tcW w:w="2590" w:type="dxa"/>
          </w:tcPr>
          <w:p w14:paraId="721800D1" w14:textId="7AB734B9" w:rsidR="00C427AD" w:rsidRPr="00D4154E" w:rsidRDefault="0055587A">
            <w:pPr>
              <w:rPr>
                <w:rFonts w:ascii="Times New Roman" w:hAnsi="Times New Roman" w:cs="Times New Roman"/>
                <w:b/>
                <w:bCs/>
              </w:rPr>
            </w:pPr>
            <w:r w:rsidRPr="00D4154E">
              <w:rPr>
                <w:rFonts w:ascii="Times New Roman" w:hAnsi="Times New Roman" w:cs="Times New Roman"/>
                <w:b/>
                <w:bCs/>
              </w:rPr>
              <w:t>Age of Exposure</w:t>
            </w:r>
          </w:p>
        </w:tc>
        <w:tc>
          <w:tcPr>
            <w:tcW w:w="2590" w:type="dxa"/>
          </w:tcPr>
          <w:p w14:paraId="1DE44073" w14:textId="47A628DF" w:rsidR="00C427AD" w:rsidRPr="00D4154E" w:rsidRDefault="00407096">
            <w:pPr>
              <w:rPr>
                <w:rFonts w:ascii="Times New Roman" w:hAnsi="Times New Roman" w:cs="Times New Roman"/>
                <w:b/>
                <w:bCs/>
              </w:rPr>
            </w:pPr>
            <w:r w:rsidRPr="00D4154E">
              <w:rPr>
                <w:rFonts w:ascii="Times New Roman" w:hAnsi="Times New Roman" w:cs="Times New Roman"/>
                <w:b/>
                <w:bCs/>
              </w:rPr>
              <w:t>PTSD</w:t>
            </w:r>
          </w:p>
        </w:tc>
      </w:tr>
      <w:tr w:rsidR="00C427AD" w:rsidRPr="00B3532A" w14:paraId="65246F6A" w14:textId="77777777" w:rsidTr="00C427AD">
        <w:tc>
          <w:tcPr>
            <w:tcW w:w="2590" w:type="dxa"/>
          </w:tcPr>
          <w:p w14:paraId="781300B1" w14:textId="77777777" w:rsidR="0055587A" w:rsidRPr="00B3532A" w:rsidRDefault="0055587A" w:rsidP="0055587A">
            <w:pPr>
              <w:rPr>
                <w:rFonts w:ascii="Times New Roman" w:hAnsi="Times New Roman" w:cs="Times New Roman"/>
              </w:rPr>
            </w:pPr>
            <w:r w:rsidRPr="00B3532A">
              <w:rPr>
                <w:rFonts w:ascii="Times New Roman" w:hAnsi="Times New Roman" w:cs="Times New Roman"/>
              </w:rPr>
              <w:t xml:space="preserve">Child and adolescent mental health conditions such as anxiety, depression, and ADD are quite prevalent with rates that continue to rise.  Among US </w:t>
            </w:r>
            <w:proofErr w:type="gramStart"/>
            <w:r w:rsidRPr="00B3532A">
              <w:rPr>
                <w:rFonts w:ascii="Times New Roman" w:hAnsi="Times New Roman" w:cs="Times New Roman"/>
              </w:rPr>
              <w:t>12-17 year</w:t>
            </w:r>
            <w:proofErr w:type="gramEnd"/>
            <w:r w:rsidRPr="00B3532A">
              <w:rPr>
                <w:rFonts w:ascii="Times New Roman" w:hAnsi="Times New Roman" w:cs="Times New Roman"/>
              </w:rPr>
              <w:t xml:space="preserve"> olds, for instance, an estimated 3.4 million are receiving inpatient or outpatient treatment for a substance use or mental health problem (</w:t>
            </w:r>
            <w:r w:rsidRPr="00B3532A">
              <w:rPr>
                <w:rFonts w:ascii="Times New Roman" w:hAnsi="Times New Roman" w:cs="Times New Roman"/>
                <w:highlight w:val="yellow"/>
              </w:rPr>
              <w:t>66 as</w:t>
            </w:r>
            <w:r w:rsidRPr="00B3532A">
              <w:rPr>
                <w:rFonts w:ascii="Times New Roman" w:hAnsi="Times New Roman" w:cs="Times New Roman"/>
              </w:rPr>
              <w:t xml:space="preserve"> </w:t>
            </w:r>
            <w:r w:rsidRPr="00B3532A">
              <w:rPr>
                <w:rFonts w:ascii="Times New Roman" w:hAnsi="Times New Roman" w:cs="Times New Roman"/>
                <w:highlight w:val="yellow"/>
              </w:rPr>
              <w:t>cited</w:t>
            </w:r>
            <w:r w:rsidRPr="00B3532A">
              <w:rPr>
                <w:rFonts w:ascii="Times New Roman" w:hAnsi="Times New Roman" w:cs="Times New Roman"/>
              </w:rPr>
              <w:t xml:space="preserve"> by </w:t>
            </w:r>
            <w:proofErr w:type="spellStart"/>
            <w:r w:rsidRPr="00B3532A">
              <w:rPr>
                <w:rFonts w:ascii="Times New Roman" w:hAnsi="Times New Roman" w:cs="Times New Roman"/>
              </w:rPr>
              <w:t>Silberholz</w:t>
            </w:r>
            <w:proofErr w:type="spellEnd"/>
            <w:r w:rsidRPr="00B3532A">
              <w:rPr>
                <w:rFonts w:ascii="Times New Roman" w:hAnsi="Times New Roman" w:cs="Times New Roman"/>
              </w:rPr>
              <w:t xml:space="preserve">, Brodie, Spector &amp; </w:t>
            </w:r>
            <w:proofErr w:type="spellStart"/>
            <w:r w:rsidRPr="00B3532A">
              <w:rPr>
                <w:rFonts w:ascii="Times New Roman" w:hAnsi="Times New Roman" w:cs="Times New Roman"/>
              </w:rPr>
              <w:t>Pattishall</w:t>
            </w:r>
            <w:proofErr w:type="spellEnd"/>
            <w:r w:rsidRPr="00B3532A">
              <w:rPr>
                <w:rFonts w:ascii="Times New Roman" w:hAnsi="Times New Roman" w:cs="Times New Roman"/>
              </w:rPr>
              <w:t>, 2017, p. 722).</w:t>
            </w:r>
          </w:p>
          <w:p w14:paraId="2173A776" w14:textId="77777777" w:rsidR="00C427AD" w:rsidRPr="00B3532A" w:rsidRDefault="00C427AD">
            <w:pPr>
              <w:rPr>
                <w:rFonts w:ascii="Times New Roman" w:hAnsi="Times New Roman" w:cs="Times New Roman"/>
              </w:rPr>
            </w:pPr>
          </w:p>
        </w:tc>
        <w:tc>
          <w:tcPr>
            <w:tcW w:w="2590" w:type="dxa"/>
          </w:tcPr>
          <w:p w14:paraId="40B1E26B" w14:textId="77777777" w:rsidR="00D4154E" w:rsidRPr="00B3532A" w:rsidRDefault="00D4154E" w:rsidP="00D4154E">
            <w:pPr>
              <w:rPr>
                <w:rFonts w:ascii="Times New Roman" w:hAnsi="Times New Roman" w:cs="Times New Roman"/>
              </w:rPr>
            </w:pPr>
            <w:r w:rsidRPr="00B3532A">
              <w:rPr>
                <w:rFonts w:ascii="Times New Roman" w:hAnsi="Times New Roman" w:cs="Times New Roman"/>
              </w:rPr>
              <w:t>When a stranger comes into our presence, then, first appearances are likely to enable us to anticipate his category and attributes, his ‘social identity’ – to use a term that is better than ‘social status’ because personal attributes such as ‘honesty’ are involved, as well as structural ones, like ‘occupation’ (Goffman, 1963, p. 11).</w:t>
            </w:r>
          </w:p>
          <w:p w14:paraId="6CEC1848" w14:textId="77777777" w:rsidR="00C427AD" w:rsidRPr="00B3532A" w:rsidRDefault="00C427AD" w:rsidP="00D4154E">
            <w:pPr>
              <w:rPr>
                <w:rFonts w:ascii="Times New Roman" w:hAnsi="Times New Roman" w:cs="Times New Roman"/>
              </w:rPr>
            </w:pPr>
          </w:p>
        </w:tc>
        <w:tc>
          <w:tcPr>
            <w:tcW w:w="2590" w:type="dxa"/>
          </w:tcPr>
          <w:p w14:paraId="76B96CD4" w14:textId="77777777" w:rsidR="0055587A" w:rsidRPr="00B3532A" w:rsidRDefault="0055587A" w:rsidP="0055587A">
            <w:pPr>
              <w:rPr>
                <w:rFonts w:ascii="Times New Roman" w:hAnsi="Times New Roman" w:cs="Times New Roman"/>
              </w:rPr>
            </w:pPr>
            <w:r w:rsidRPr="00B3532A">
              <w:rPr>
                <w:rFonts w:ascii="Times New Roman" w:hAnsi="Times New Roman" w:cs="Times New Roman"/>
              </w:rPr>
              <w:t>Further analysis of the meaning this vulnerability has for teachers revealed its moral and political roots.  Vulnerability implies the feeling that one’s professional identity and moral integrity are questioned (</w:t>
            </w:r>
            <w:proofErr w:type="spellStart"/>
            <w:r w:rsidRPr="00B3532A">
              <w:rPr>
                <w:rFonts w:ascii="Times New Roman" w:hAnsi="Times New Roman" w:cs="Times New Roman"/>
              </w:rPr>
              <w:t>Kelchtermans</w:t>
            </w:r>
            <w:proofErr w:type="spellEnd"/>
            <w:r w:rsidRPr="00B3532A">
              <w:rPr>
                <w:rFonts w:ascii="Times New Roman" w:hAnsi="Times New Roman" w:cs="Times New Roman"/>
              </w:rPr>
              <w:t>, 1996, p. abstract).</w:t>
            </w:r>
          </w:p>
          <w:p w14:paraId="386C67C3" w14:textId="77777777" w:rsidR="00C427AD" w:rsidRPr="00B3532A" w:rsidRDefault="00C427AD">
            <w:pPr>
              <w:rPr>
                <w:rFonts w:ascii="Times New Roman" w:hAnsi="Times New Roman" w:cs="Times New Roman"/>
              </w:rPr>
            </w:pPr>
          </w:p>
        </w:tc>
        <w:tc>
          <w:tcPr>
            <w:tcW w:w="2590" w:type="dxa"/>
          </w:tcPr>
          <w:p w14:paraId="6B9F56A1" w14:textId="77777777" w:rsidR="0055587A" w:rsidRPr="00B3532A" w:rsidRDefault="0055587A" w:rsidP="0055587A">
            <w:pPr>
              <w:rPr>
                <w:rFonts w:ascii="Times New Roman" w:hAnsi="Times New Roman" w:cs="Times New Roman"/>
              </w:rPr>
            </w:pPr>
            <w:r w:rsidRPr="00B3532A">
              <w:rPr>
                <w:rFonts w:ascii="Times New Roman" w:hAnsi="Times New Roman" w:cs="Times New Roman"/>
              </w:rPr>
              <w:t xml:space="preserve">Individuals preserve audience segregation by following the rules of decorum of each social situation and by filtering the information about themselves available to each audience (Abril, Levin, Del </w:t>
            </w:r>
            <w:proofErr w:type="spellStart"/>
            <w:r w:rsidRPr="00B3532A">
              <w:rPr>
                <w:rFonts w:ascii="Times New Roman" w:hAnsi="Times New Roman" w:cs="Times New Roman"/>
              </w:rPr>
              <w:t>Riego</w:t>
            </w:r>
            <w:proofErr w:type="spellEnd"/>
            <w:r w:rsidRPr="00B3532A">
              <w:rPr>
                <w:rFonts w:ascii="Times New Roman" w:hAnsi="Times New Roman" w:cs="Times New Roman"/>
              </w:rPr>
              <w:t>, 2012, p. 63-64).</w:t>
            </w:r>
          </w:p>
          <w:p w14:paraId="31D56301" w14:textId="77777777" w:rsidR="00C427AD" w:rsidRPr="00B3532A" w:rsidRDefault="00C427AD">
            <w:pPr>
              <w:rPr>
                <w:rFonts w:ascii="Times New Roman" w:hAnsi="Times New Roman" w:cs="Times New Roman"/>
              </w:rPr>
            </w:pPr>
          </w:p>
        </w:tc>
        <w:tc>
          <w:tcPr>
            <w:tcW w:w="2590" w:type="dxa"/>
          </w:tcPr>
          <w:p w14:paraId="02ADBF48" w14:textId="77777777" w:rsidR="00407096" w:rsidRPr="00B3532A" w:rsidRDefault="00407096" w:rsidP="00407096">
            <w:pPr>
              <w:rPr>
                <w:rFonts w:ascii="Times New Roman" w:hAnsi="Times New Roman" w:cs="Times New Roman"/>
              </w:rPr>
            </w:pPr>
            <w:r w:rsidRPr="00B3532A">
              <w:rPr>
                <w:rFonts w:ascii="Times New Roman" w:hAnsi="Times New Roman" w:cs="Times New Roman"/>
              </w:rPr>
              <w:t xml:space="preserve">This usage attempts to invert the concern that CCTVs undermine trust, but it may prove a double-edged sword if the pupils do not believe the principal (Perry-Hazan, </w:t>
            </w:r>
            <w:proofErr w:type="spellStart"/>
            <w:r w:rsidRPr="00B3532A">
              <w:rPr>
                <w:rFonts w:ascii="Times New Roman" w:hAnsi="Times New Roman" w:cs="Times New Roman"/>
              </w:rPr>
              <w:t>Birnhack</w:t>
            </w:r>
            <w:proofErr w:type="spellEnd"/>
            <w:r w:rsidRPr="00B3532A">
              <w:rPr>
                <w:rFonts w:ascii="Times New Roman" w:hAnsi="Times New Roman" w:cs="Times New Roman"/>
              </w:rPr>
              <w:t>, 2018, abstract).</w:t>
            </w:r>
          </w:p>
          <w:p w14:paraId="5E8FCCC6" w14:textId="77777777" w:rsidR="00407096" w:rsidRPr="00B3532A" w:rsidRDefault="00407096" w:rsidP="00407096">
            <w:pPr>
              <w:rPr>
                <w:rFonts w:ascii="Times New Roman" w:hAnsi="Times New Roman" w:cs="Times New Roman"/>
              </w:rPr>
            </w:pPr>
          </w:p>
          <w:p w14:paraId="6243FBEC" w14:textId="77777777" w:rsidR="00C427AD" w:rsidRPr="00B3532A" w:rsidRDefault="00C427AD" w:rsidP="00D4154E">
            <w:pPr>
              <w:rPr>
                <w:rFonts w:ascii="Times New Roman" w:hAnsi="Times New Roman" w:cs="Times New Roman"/>
              </w:rPr>
            </w:pPr>
          </w:p>
        </w:tc>
      </w:tr>
      <w:tr w:rsidR="00C427AD" w:rsidRPr="00B3532A" w14:paraId="49A80ED4" w14:textId="77777777" w:rsidTr="00C427AD">
        <w:tc>
          <w:tcPr>
            <w:tcW w:w="2590" w:type="dxa"/>
          </w:tcPr>
          <w:p w14:paraId="6C8AB6AE" w14:textId="77777777" w:rsidR="0055587A" w:rsidRPr="00B3532A" w:rsidRDefault="0055587A" w:rsidP="0055587A">
            <w:pPr>
              <w:rPr>
                <w:rFonts w:ascii="Times New Roman" w:hAnsi="Times New Roman" w:cs="Times New Roman"/>
              </w:rPr>
            </w:pPr>
            <w:r w:rsidRPr="00B3532A">
              <w:rPr>
                <w:rFonts w:ascii="Times New Roman" w:hAnsi="Times New Roman" w:cs="Times New Roman"/>
              </w:rPr>
              <w:t>Despite increasing numbers of children with mental health concerns, access to services remains a challenge (</w:t>
            </w:r>
            <w:proofErr w:type="spellStart"/>
            <w:r w:rsidRPr="00B3532A">
              <w:rPr>
                <w:rFonts w:ascii="Times New Roman" w:hAnsi="Times New Roman" w:cs="Times New Roman"/>
              </w:rPr>
              <w:t>Silberholz</w:t>
            </w:r>
            <w:proofErr w:type="spellEnd"/>
            <w:r w:rsidRPr="00B3532A">
              <w:rPr>
                <w:rFonts w:ascii="Times New Roman" w:hAnsi="Times New Roman" w:cs="Times New Roman"/>
              </w:rPr>
              <w:t xml:space="preserve">, Brodie, Spector &amp; </w:t>
            </w:r>
            <w:proofErr w:type="spellStart"/>
            <w:r w:rsidRPr="00B3532A">
              <w:rPr>
                <w:rFonts w:ascii="Times New Roman" w:hAnsi="Times New Roman" w:cs="Times New Roman"/>
              </w:rPr>
              <w:t>Pattishall</w:t>
            </w:r>
            <w:proofErr w:type="spellEnd"/>
            <w:r w:rsidRPr="00B3532A">
              <w:rPr>
                <w:rFonts w:ascii="Times New Roman" w:hAnsi="Times New Roman" w:cs="Times New Roman"/>
              </w:rPr>
              <w:t>, 2017, p. 722).</w:t>
            </w:r>
          </w:p>
          <w:p w14:paraId="41D317D0" w14:textId="77777777" w:rsidR="00C427AD" w:rsidRPr="00B3532A" w:rsidRDefault="00C427AD" w:rsidP="00D4154E">
            <w:pPr>
              <w:rPr>
                <w:rFonts w:ascii="Times New Roman" w:hAnsi="Times New Roman" w:cs="Times New Roman"/>
              </w:rPr>
            </w:pPr>
          </w:p>
        </w:tc>
        <w:tc>
          <w:tcPr>
            <w:tcW w:w="2590" w:type="dxa"/>
          </w:tcPr>
          <w:p w14:paraId="7CB39868" w14:textId="77777777" w:rsidR="00D4154E" w:rsidRPr="00B3532A" w:rsidRDefault="00D4154E" w:rsidP="00D4154E">
            <w:pPr>
              <w:rPr>
                <w:rFonts w:ascii="Times New Roman" w:hAnsi="Times New Roman" w:cs="Times New Roman"/>
              </w:rPr>
            </w:pPr>
            <w:r w:rsidRPr="00B3532A">
              <w:rPr>
                <w:rFonts w:ascii="Times New Roman" w:hAnsi="Times New Roman" w:cs="Times New Roman"/>
              </w:rPr>
              <w:t xml:space="preserve">Typically, we do not become aware that we have made these demands or aware of what they are until an active question arises as to whether or not they will be fulfilled (Goffman, 1963, p. 11). </w:t>
            </w:r>
          </w:p>
          <w:p w14:paraId="5A456C64" w14:textId="77777777" w:rsidR="00C427AD" w:rsidRPr="00B3532A" w:rsidRDefault="00C427AD" w:rsidP="00D4154E">
            <w:pPr>
              <w:rPr>
                <w:rFonts w:ascii="Times New Roman" w:hAnsi="Times New Roman" w:cs="Times New Roman"/>
              </w:rPr>
            </w:pPr>
          </w:p>
        </w:tc>
        <w:tc>
          <w:tcPr>
            <w:tcW w:w="2590" w:type="dxa"/>
          </w:tcPr>
          <w:p w14:paraId="5B6BAE7C" w14:textId="77777777" w:rsidR="0055587A" w:rsidRPr="00B3532A" w:rsidRDefault="0055587A" w:rsidP="0055587A">
            <w:pPr>
              <w:rPr>
                <w:rFonts w:ascii="Times New Roman" w:hAnsi="Times New Roman" w:cs="Times New Roman"/>
              </w:rPr>
            </w:pPr>
            <w:r w:rsidRPr="00B3532A">
              <w:rPr>
                <w:rFonts w:ascii="Times New Roman" w:hAnsi="Times New Roman" w:cs="Times New Roman"/>
              </w:rPr>
              <w:t>Teachers do not experience only positive feelings.  Teaching also implies feelings of powerlessness, frustration, disappointment, disillusion, guilt and even anger and fear (</w:t>
            </w:r>
            <w:proofErr w:type="spellStart"/>
            <w:r w:rsidRPr="00B3532A">
              <w:rPr>
                <w:rFonts w:ascii="Times New Roman" w:hAnsi="Times New Roman" w:cs="Times New Roman"/>
              </w:rPr>
              <w:t>Kelchtermans</w:t>
            </w:r>
            <w:proofErr w:type="spellEnd"/>
            <w:r w:rsidRPr="00B3532A">
              <w:rPr>
                <w:rFonts w:ascii="Times New Roman" w:hAnsi="Times New Roman" w:cs="Times New Roman"/>
              </w:rPr>
              <w:t>, 1996, p. 307).</w:t>
            </w:r>
          </w:p>
          <w:p w14:paraId="345C0C66" w14:textId="77777777" w:rsidR="00C427AD" w:rsidRPr="00B3532A" w:rsidRDefault="00C427AD">
            <w:pPr>
              <w:rPr>
                <w:rFonts w:ascii="Times New Roman" w:hAnsi="Times New Roman" w:cs="Times New Roman"/>
              </w:rPr>
            </w:pPr>
          </w:p>
        </w:tc>
        <w:tc>
          <w:tcPr>
            <w:tcW w:w="2590" w:type="dxa"/>
          </w:tcPr>
          <w:p w14:paraId="5FF3DEEC" w14:textId="77777777" w:rsidR="00912260" w:rsidRPr="00B3532A" w:rsidRDefault="00912260" w:rsidP="00912260">
            <w:pPr>
              <w:rPr>
                <w:rFonts w:ascii="Times New Roman" w:hAnsi="Times New Roman" w:cs="Times New Roman"/>
              </w:rPr>
            </w:pPr>
            <w:r w:rsidRPr="00B3532A">
              <w:rPr>
                <w:rFonts w:ascii="Times New Roman" w:hAnsi="Times New Roman" w:cs="Times New Roman"/>
              </w:rPr>
              <w:t>The disclosure of information to unintended audiences discredits the construction of roles and identities within the group and causes “difficult problems in impression management” (</w:t>
            </w:r>
            <w:r w:rsidRPr="00B3532A">
              <w:rPr>
                <w:rFonts w:ascii="Times New Roman" w:hAnsi="Times New Roman" w:cs="Times New Roman"/>
                <w:highlight w:val="yellow"/>
              </w:rPr>
              <w:t>Goffman, 1959 , p. 139  as cited</w:t>
            </w:r>
            <w:r w:rsidRPr="00B3532A">
              <w:rPr>
                <w:rFonts w:ascii="Times New Roman" w:hAnsi="Times New Roman" w:cs="Times New Roman"/>
              </w:rPr>
              <w:t xml:space="preserve"> by Abril, Levin, Del </w:t>
            </w:r>
            <w:proofErr w:type="spellStart"/>
            <w:r w:rsidRPr="00B3532A">
              <w:rPr>
                <w:rFonts w:ascii="Times New Roman" w:hAnsi="Times New Roman" w:cs="Times New Roman"/>
              </w:rPr>
              <w:t>Riego</w:t>
            </w:r>
            <w:proofErr w:type="spellEnd"/>
            <w:r w:rsidRPr="00B3532A">
              <w:rPr>
                <w:rFonts w:ascii="Times New Roman" w:hAnsi="Times New Roman" w:cs="Times New Roman"/>
              </w:rPr>
              <w:t>, 2012, p. 64).</w:t>
            </w:r>
          </w:p>
          <w:p w14:paraId="4A547740" w14:textId="77777777" w:rsidR="00C427AD" w:rsidRPr="00B3532A" w:rsidRDefault="00C427AD">
            <w:pPr>
              <w:rPr>
                <w:rFonts w:ascii="Times New Roman" w:hAnsi="Times New Roman" w:cs="Times New Roman"/>
              </w:rPr>
            </w:pPr>
          </w:p>
        </w:tc>
        <w:tc>
          <w:tcPr>
            <w:tcW w:w="2590" w:type="dxa"/>
          </w:tcPr>
          <w:p w14:paraId="0B4C6F31" w14:textId="77777777" w:rsidR="00D4154E" w:rsidRPr="00B3532A" w:rsidRDefault="00D4154E" w:rsidP="00D4154E">
            <w:pPr>
              <w:autoSpaceDE w:val="0"/>
              <w:autoSpaceDN w:val="0"/>
              <w:adjustRightInd w:val="0"/>
              <w:rPr>
                <w:rFonts w:ascii="Times New Roman" w:hAnsi="Times New Roman" w:cs="Times New Roman"/>
              </w:rPr>
            </w:pPr>
            <w:r w:rsidRPr="00B3532A">
              <w:rPr>
                <w:rFonts w:ascii="Times New Roman" w:hAnsi="Times New Roman" w:cs="Times New Roman"/>
              </w:rPr>
              <w:t>The focus here is on headteachers’ resistance of the neoliberal reforms they opposed (Fuller, 2019, abstract).</w:t>
            </w:r>
          </w:p>
          <w:p w14:paraId="256FB60E" w14:textId="77777777" w:rsidR="00C427AD" w:rsidRPr="00B3532A" w:rsidRDefault="00C427AD" w:rsidP="00D4154E">
            <w:pPr>
              <w:rPr>
                <w:rFonts w:ascii="Times New Roman" w:hAnsi="Times New Roman" w:cs="Times New Roman"/>
              </w:rPr>
            </w:pPr>
          </w:p>
        </w:tc>
      </w:tr>
      <w:tr w:rsidR="0055587A" w:rsidRPr="00B3532A" w14:paraId="495AD080" w14:textId="77777777" w:rsidTr="00C427AD">
        <w:tc>
          <w:tcPr>
            <w:tcW w:w="2590" w:type="dxa"/>
          </w:tcPr>
          <w:p w14:paraId="342B5D9A" w14:textId="77777777" w:rsidR="0055587A" w:rsidRPr="00B3532A" w:rsidRDefault="0055587A" w:rsidP="0055587A">
            <w:pPr>
              <w:rPr>
                <w:rFonts w:ascii="Times New Roman" w:hAnsi="Times New Roman" w:cs="Times New Roman"/>
              </w:rPr>
            </w:pPr>
          </w:p>
        </w:tc>
        <w:tc>
          <w:tcPr>
            <w:tcW w:w="2590" w:type="dxa"/>
          </w:tcPr>
          <w:p w14:paraId="33F932FB" w14:textId="77777777" w:rsidR="0055587A" w:rsidRDefault="00D4154E" w:rsidP="00D4154E">
            <w:pPr>
              <w:rPr>
                <w:rFonts w:ascii="Times New Roman" w:hAnsi="Times New Roman" w:cs="Times New Roman"/>
              </w:rPr>
            </w:pPr>
            <w:r w:rsidRPr="00B3532A">
              <w:rPr>
                <w:rFonts w:ascii="Times New Roman" w:hAnsi="Times New Roman" w:cs="Times New Roman"/>
              </w:rPr>
              <w:t>It is then that we are likely to realize that all along we had been making certain assumptions as to what the individual before us</w:t>
            </w:r>
          </w:p>
          <w:p w14:paraId="007A1FE6" w14:textId="77777777" w:rsidR="00D4154E" w:rsidRDefault="00D4154E" w:rsidP="00D4154E">
            <w:pPr>
              <w:rPr>
                <w:rFonts w:ascii="Times New Roman" w:hAnsi="Times New Roman" w:cs="Times New Roman"/>
              </w:rPr>
            </w:pPr>
            <w:r w:rsidRPr="00B3532A">
              <w:rPr>
                <w:rFonts w:ascii="Times New Roman" w:hAnsi="Times New Roman" w:cs="Times New Roman"/>
              </w:rPr>
              <w:t>ought to be.  Thus, the demands we make might better be called demands made ‘in effect’, and the character we impute to</w:t>
            </w:r>
          </w:p>
          <w:p w14:paraId="59EE5F3A" w14:textId="77777777" w:rsidR="00D4154E" w:rsidRDefault="00D4154E" w:rsidP="00D4154E">
            <w:pPr>
              <w:rPr>
                <w:rFonts w:ascii="Times New Roman" w:hAnsi="Times New Roman" w:cs="Times New Roman"/>
              </w:rPr>
            </w:pPr>
            <w:r w:rsidRPr="00B3532A">
              <w:rPr>
                <w:rFonts w:ascii="Times New Roman" w:hAnsi="Times New Roman" w:cs="Times New Roman"/>
              </w:rPr>
              <w:t>the individual might better be seen as an imputation made in potential retrospect- a characterization ‘in effect’, a virtual social</w:t>
            </w:r>
          </w:p>
          <w:p w14:paraId="7EB2A4A6" w14:textId="28C8158E" w:rsidR="00D4154E" w:rsidRPr="00B3532A" w:rsidRDefault="00D4154E" w:rsidP="00D4154E">
            <w:pPr>
              <w:rPr>
                <w:rFonts w:ascii="Times New Roman" w:hAnsi="Times New Roman" w:cs="Times New Roman"/>
              </w:rPr>
            </w:pPr>
            <w:r w:rsidRPr="00B3532A">
              <w:rPr>
                <w:rFonts w:ascii="Times New Roman" w:hAnsi="Times New Roman" w:cs="Times New Roman"/>
              </w:rPr>
              <w:t xml:space="preserve">identity (Goffman, 1963, p. 11).  </w:t>
            </w:r>
          </w:p>
        </w:tc>
        <w:tc>
          <w:tcPr>
            <w:tcW w:w="2590" w:type="dxa"/>
          </w:tcPr>
          <w:p w14:paraId="24D72BA1" w14:textId="77777777" w:rsidR="0055587A" w:rsidRPr="00B3532A" w:rsidRDefault="0055587A" w:rsidP="0055587A">
            <w:pPr>
              <w:rPr>
                <w:rFonts w:ascii="Times New Roman" w:hAnsi="Times New Roman" w:cs="Times New Roman"/>
              </w:rPr>
            </w:pPr>
            <w:r w:rsidRPr="00B3532A">
              <w:rPr>
                <w:rFonts w:ascii="Times New Roman" w:hAnsi="Times New Roman" w:cs="Times New Roman"/>
              </w:rPr>
              <w:t>In this article I will explore teachers’ feelings of vulnerability.  This vulnerability refers to one way in which teachers experience their interactions with other actors in the school and the community.  It thus encompasses not only emotions (feelings), but also cognitive processes (perception, interpretation) (</w:t>
            </w:r>
            <w:proofErr w:type="spellStart"/>
            <w:r w:rsidRPr="00B3532A">
              <w:rPr>
                <w:rFonts w:ascii="Times New Roman" w:hAnsi="Times New Roman" w:cs="Times New Roman"/>
              </w:rPr>
              <w:t>Kelchtermans</w:t>
            </w:r>
            <w:proofErr w:type="spellEnd"/>
            <w:r w:rsidRPr="00B3532A">
              <w:rPr>
                <w:rFonts w:ascii="Times New Roman" w:hAnsi="Times New Roman" w:cs="Times New Roman"/>
              </w:rPr>
              <w:t>, 1996, p. 307).</w:t>
            </w:r>
          </w:p>
          <w:p w14:paraId="26636DFD" w14:textId="77777777" w:rsidR="0055587A" w:rsidRPr="00B3532A" w:rsidRDefault="0055587A">
            <w:pPr>
              <w:rPr>
                <w:rFonts w:ascii="Times New Roman" w:hAnsi="Times New Roman" w:cs="Times New Roman"/>
              </w:rPr>
            </w:pPr>
          </w:p>
        </w:tc>
        <w:tc>
          <w:tcPr>
            <w:tcW w:w="2590" w:type="dxa"/>
          </w:tcPr>
          <w:p w14:paraId="434FD820" w14:textId="77777777" w:rsidR="00F45321" w:rsidRPr="00B3532A" w:rsidRDefault="00F45321" w:rsidP="00F45321">
            <w:pPr>
              <w:autoSpaceDE w:val="0"/>
              <w:autoSpaceDN w:val="0"/>
              <w:adjustRightInd w:val="0"/>
              <w:rPr>
                <w:rFonts w:ascii="Times New Roman" w:hAnsi="Times New Roman" w:cs="Times New Roman"/>
              </w:rPr>
            </w:pPr>
            <w:r w:rsidRPr="00B3532A">
              <w:rPr>
                <w:rFonts w:ascii="Times New Roman" w:hAnsi="Times New Roman" w:cs="Times New Roman"/>
              </w:rPr>
              <w:t xml:space="preserve">The publication of school performance data is intended to enable school choice.  It engenders competition between schools as a quasi-market and </w:t>
            </w:r>
          </w:p>
          <w:p w14:paraId="4F7F5C26" w14:textId="04344D60" w:rsidR="0055587A" w:rsidRPr="00B3532A" w:rsidRDefault="00F45321">
            <w:pPr>
              <w:rPr>
                <w:rFonts w:ascii="Times New Roman" w:hAnsi="Times New Roman" w:cs="Times New Roman"/>
              </w:rPr>
            </w:pPr>
            <w:r w:rsidRPr="00B3532A">
              <w:rPr>
                <w:rFonts w:ascii="Times New Roman" w:hAnsi="Times New Roman" w:cs="Times New Roman"/>
              </w:rPr>
              <w:t>facilitates punitive accountability.  Shifting measures of school effectiveness creates ontological insecurity making education professionals “unsure whether [they] are doing enough, doing the right thing, doing as much as others, or as well as others, constantly looking to improve, to be better, to be excellent” (</w:t>
            </w:r>
            <w:r w:rsidRPr="00B3532A">
              <w:rPr>
                <w:rFonts w:ascii="Times New Roman" w:hAnsi="Times New Roman" w:cs="Times New Roman"/>
                <w:highlight w:val="yellow"/>
              </w:rPr>
              <w:t>Ball, 2003, p. 220</w:t>
            </w:r>
            <w:r w:rsidRPr="00B3532A">
              <w:rPr>
                <w:rFonts w:ascii="Times New Roman" w:hAnsi="Times New Roman" w:cs="Times New Roman"/>
              </w:rPr>
              <w:t xml:space="preserve"> as cited by Fuller, 2019, p. 33).</w:t>
            </w:r>
          </w:p>
        </w:tc>
        <w:tc>
          <w:tcPr>
            <w:tcW w:w="2590" w:type="dxa"/>
          </w:tcPr>
          <w:p w14:paraId="3BDE19DC" w14:textId="77777777" w:rsidR="00407096" w:rsidRPr="00B3532A" w:rsidRDefault="00407096" w:rsidP="00407096">
            <w:pPr>
              <w:autoSpaceDE w:val="0"/>
              <w:autoSpaceDN w:val="0"/>
              <w:adjustRightInd w:val="0"/>
              <w:rPr>
                <w:rFonts w:ascii="Times New Roman" w:hAnsi="Times New Roman" w:cs="Times New Roman"/>
              </w:rPr>
            </w:pPr>
            <w:r w:rsidRPr="00B3532A">
              <w:rPr>
                <w:rFonts w:ascii="Times New Roman" w:hAnsi="Times New Roman" w:cs="Times New Roman"/>
              </w:rPr>
              <w:t>By virtue of their long service, it might be assumed experienced headteacher/principals are largely compliant having successfully managed a school’s performance and secured its place in the market (Fuller, 2019, abstract).</w:t>
            </w:r>
          </w:p>
          <w:p w14:paraId="64C3E3EA" w14:textId="77777777" w:rsidR="00407096" w:rsidRPr="00B3532A" w:rsidRDefault="00407096" w:rsidP="00407096">
            <w:pPr>
              <w:autoSpaceDE w:val="0"/>
              <w:autoSpaceDN w:val="0"/>
              <w:adjustRightInd w:val="0"/>
              <w:rPr>
                <w:rFonts w:ascii="Times New Roman" w:hAnsi="Times New Roman" w:cs="Times New Roman"/>
              </w:rPr>
            </w:pPr>
          </w:p>
          <w:p w14:paraId="63FF0474" w14:textId="77777777" w:rsidR="0055587A" w:rsidRPr="00B3532A" w:rsidRDefault="0055587A" w:rsidP="00D4154E">
            <w:pPr>
              <w:autoSpaceDE w:val="0"/>
              <w:autoSpaceDN w:val="0"/>
              <w:adjustRightInd w:val="0"/>
              <w:rPr>
                <w:rFonts w:ascii="Times New Roman" w:hAnsi="Times New Roman" w:cs="Times New Roman"/>
              </w:rPr>
            </w:pPr>
          </w:p>
        </w:tc>
      </w:tr>
      <w:tr w:rsidR="0055587A" w:rsidRPr="00B3532A" w14:paraId="2F141401" w14:textId="77777777" w:rsidTr="00C427AD">
        <w:tc>
          <w:tcPr>
            <w:tcW w:w="2590" w:type="dxa"/>
          </w:tcPr>
          <w:p w14:paraId="6A9AC7DC" w14:textId="77777777" w:rsidR="0055587A" w:rsidRPr="00B3532A" w:rsidRDefault="0055587A" w:rsidP="0055587A">
            <w:pPr>
              <w:rPr>
                <w:rFonts w:ascii="Times New Roman" w:hAnsi="Times New Roman" w:cs="Times New Roman"/>
              </w:rPr>
            </w:pPr>
          </w:p>
        </w:tc>
        <w:tc>
          <w:tcPr>
            <w:tcW w:w="2590" w:type="dxa"/>
          </w:tcPr>
          <w:p w14:paraId="4EF23F4D" w14:textId="77777777" w:rsidR="0055587A" w:rsidRPr="00B3532A" w:rsidRDefault="0055587A" w:rsidP="00D4154E">
            <w:pPr>
              <w:rPr>
                <w:rFonts w:ascii="Times New Roman" w:hAnsi="Times New Roman" w:cs="Times New Roman"/>
              </w:rPr>
            </w:pPr>
          </w:p>
        </w:tc>
        <w:tc>
          <w:tcPr>
            <w:tcW w:w="2590" w:type="dxa"/>
          </w:tcPr>
          <w:p w14:paraId="5B43C754" w14:textId="77777777" w:rsidR="0055587A" w:rsidRPr="00B3532A" w:rsidRDefault="0055587A" w:rsidP="0055587A">
            <w:pPr>
              <w:rPr>
                <w:rFonts w:ascii="Times New Roman" w:hAnsi="Times New Roman" w:cs="Times New Roman"/>
              </w:rPr>
            </w:pPr>
            <w:r w:rsidRPr="00B3532A">
              <w:rPr>
                <w:rFonts w:ascii="Times New Roman" w:hAnsi="Times New Roman" w:cs="Times New Roman"/>
              </w:rPr>
              <w:t xml:space="preserve">When I discussed this theme with teachers, they often expressed embarrassment, because they felt that it was as if they, as teachers, were seen as pitiful victims, looking for compassion.  This is not the idea I </w:t>
            </w:r>
            <w:r w:rsidRPr="00B3532A">
              <w:rPr>
                <w:rFonts w:ascii="Times New Roman" w:hAnsi="Times New Roman" w:cs="Times New Roman"/>
              </w:rPr>
              <w:lastRenderedPageBreak/>
              <w:t>want to present in this article, neither do I want to reinforce the negative image of teachers that has recently been promoted by certain media (</w:t>
            </w:r>
            <w:proofErr w:type="spellStart"/>
            <w:r w:rsidRPr="00B3532A">
              <w:rPr>
                <w:rFonts w:ascii="Times New Roman" w:hAnsi="Times New Roman" w:cs="Times New Roman"/>
              </w:rPr>
              <w:t>Kelchtermans</w:t>
            </w:r>
            <w:proofErr w:type="spellEnd"/>
            <w:r w:rsidRPr="00B3532A">
              <w:rPr>
                <w:rFonts w:ascii="Times New Roman" w:hAnsi="Times New Roman" w:cs="Times New Roman"/>
              </w:rPr>
              <w:t>, 1996, p. 307-308).</w:t>
            </w:r>
          </w:p>
          <w:p w14:paraId="3E735AE5" w14:textId="77777777" w:rsidR="0055587A" w:rsidRPr="00B3532A" w:rsidRDefault="0055587A">
            <w:pPr>
              <w:rPr>
                <w:rFonts w:ascii="Times New Roman" w:hAnsi="Times New Roman" w:cs="Times New Roman"/>
              </w:rPr>
            </w:pPr>
          </w:p>
        </w:tc>
        <w:tc>
          <w:tcPr>
            <w:tcW w:w="2590" w:type="dxa"/>
          </w:tcPr>
          <w:p w14:paraId="6A72C893" w14:textId="77777777" w:rsidR="0055587A" w:rsidRPr="00B3532A" w:rsidRDefault="0055587A">
            <w:pPr>
              <w:rPr>
                <w:rFonts w:ascii="Times New Roman" w:hAnsi="Times New Roman" w:cs="Times New Roman"/>
              </w:rPr>
            </w:pPr>
          </w:p>
        </w:tc>
        <w:tc>
          <w:tcPr>
            <w:tcW w:w="2590" w:type="dxa"/>
          </w:tcPr>
          <w:p w14:paraId="3BDE1190" w14:textId="77777777" w:rsidR="002E3F3A" w:rsidRPr="00B3532A" w:rsidRDefault="002E3F3A" w:rsidP="002E3F3A">
            <w:pPr>
              <w:autoSpaceDE w:val="0"/>
              <w:autoSpaceDN w:val="0"/>
              <w:adjustRightInd w:val="0"/>
              <w:rPr>
                <w:rFonts w:ascii="Times New Roman" w:hAnsi="Times New Roman" w:cs="Times New Roman"/>
              </w:rPr>
            </w:pPr>
            <w:r w:rsidRPr="00B3532A">
              <w:rPr>
                <w:rFonts w:ascii="Times New Roman" w:hAnsi="Times New Roman" w:cs="Times New Roman"/>
              </w:rPr>
              <w:t>Detrimental effects include “institutional schizophrenia” (</w:t>
            </w:r>
            <w:r w:rsidRPr="00B3532A">
              <w:rPr>
                <w:rFonts w:ascii="Times New Roman" w:hAnsi="Times New Roman" w:cs="Times New Roman"/>
                <w:highlight w:val="yellow"/>
              </w:rPr>
              <w:t>Blackmore, 2004, p. 454</w:t>
            </w:r>
            <w:r w:rsidRPr="00B3532A">
              <w:rPr>
                <w:rFonts w:ascii="Times New Roman" w:hAnsi="Times New Roman" w:cs="Times New Roman"/>
              </w:rPr>
              <w:t xml:space="preserve"> as cited by Fuller, 2019, p. 32).</w:t>
            </w:r>
          </w:p>
          <w:p w14:paraId="5F8BF7D3" w14:textId="77777777" w:rsidR="0055587A" w:rsidRPr="00B3532A" w:rsidRDefault="0055587A">
            <w:pPr>
              <w:rPr>
                <w:rFonts w:ascii="Times New Roman" w:hAnsi="Times New Roman" w:cs="Times New Roman"/>
              </w:rPr>
            </w:pPr>
          </w:p>
          <w:p w14:paraId="3BB84802" w14:textId="77777777" w:rsidR="002D2317" w:rsidRPr="00B3532A" w:rsidRDefault="002D2317">
            <w:pPr>
              <w:rPr>
                <w:rFonts w:ascii="Times New Roman" w:hAnsi="Times New Roman" w:cs="Times New Roman"/>
              </w:rPr>
            </w:pPr>
          </w:p>
          <w:p w14:paraId="27AF522A" w14:textId="77777777" w:rsidR="002D2317" w:rsidRPr="00B3532A" w:rsidRDefault="002D2317" w:rsidP="002D2317">
            <w:pPr>
              <w:autoSpaceDE w:val="0"/>
              <w:autoSpaceDN w:val="0"/>
              <w:adjustRightInd w:val="0"/>
              <w:rPr>
                <w:rFonts w:ascii="Times New Roman" w:hAnsi="Times New Roman" w:cs="Times New Roman"/>
              </w:rPr>
            </w:pPr>
            <w:r w:rsidRPr="00B3532A">
              <w:rPr>
                <w:rFonts w:ascii="Times New Roman" w:hAnsi="Times New Roman" w:cs="Times New Roman"/>
              </w:rPr>
              <w:lastRenderedPageBreak/>
              <w:t>The totalitarianism of dictated education policy, surveillance and punitive accountability destroys the soul (</w:t>
            </w:r>
            <w:r w:rsidRPr="00B3532A">
              <w:rPr>
                <w:rFonts w:ascii="Times New Roman" w:hAnsi="Times New Roman" w:cs="Times New Roman"/>
                <w:highlight w:val="yellow"/>
              </w:rPr>
              <w:t>Ball, 2003, Ball &amp; Olmedo, 2013, Gunter, 2014, Stevenson &amp; Wood,</w:t>
            </w:r>
            <w:r w:rsidRPr="00B3532A">
              <w:rPr>
                <w:rFonts w:ascii="Times New Roman" w:hAnsi="Times New Roman" w:cs="Times New Roman"/>
              </w:rPr>
              <w:t xml:space="preserve"> 2013 as cited by Fuller, 2019, p. 32).</w:t>
            </w:r>
          </w:p>
          <w:p w14:paraId="508590E2" w14:textId="17AF50B7" w:rsidR="002D2317" w:rsidRPr="00B3532A" w:rsidRDefault="002D2317">
            <w:pPr>
              <w:rPr>
                <w:rFonts w:ascii="Times New Roman" w:hAnsi="Times New Roman" w:cs="Times New Roman"/>
              </w:rPr>
            </w:pPr>
          </w:p>
        </w:tc>
      </w:tr>
      <w:tr w:rsidR="0055587A" w:rsidRPr="00B3532A" w14:paraId="42888525" w14:textId="77777777" w:rsidTr="00C427AD">
        <w:tc>
          <w:tcPr>
            <w:tcW w:w="2590" w:type="dxa"/>
          </w:tcPr>
          <w:p w14:paraId="6D036C05" w14:textId="77777777" w:rsidR="0055587A" w:rsidRPr="00B3532A" w:rsidRDefault="0055587A" w:rsidP="0055587A">
            <w:pPr>
              <w:rPr>
                <w:rFonts w:ascii="Times New Roman" w:hAnsi="Times New Roman" w:cs="Times New Roman"/>
              </w:rPr>
            </w:pPr>
          </w:p>
        </w:tc>
        <w:tc>
          <w:tcPr>
            <w:tcW w:w="2590" w:type="dxa"/>
          </w:tcPr>
          <w:p w14:paraId="3753E10C" w14:textId="77777777" w:rsidR="0055587A" w:rsidRPr="00B3532A" w:rsidRDefault="0055587A" w:rsidP="00D4154E">
            <w:pPr>
              <w:rPr>
                <w:rFonts w:ascii="Times New Roman" w:hAnsi="Times New Roman" w:cs="Times New Roman"/>
              </w:rPr>
            </w:pPr>
          </w:p>
        </w:tc>
        <w:tc>
          <w:tcPr>
            <w:tcW w:w="2590" w:type="dxa"/>
          </w:tcPr>
          <w:p w14:paraId="3E6A769D" w14:textId="77777777" w:rsidR="0055587A" w:rsidRPr="00B3532A" w:rsidRDefault="0055587A" w:rsidP="0055587A">
            <w:pPr>
              <w:rPr>
                <w:rFonts w:ascii="Times New Roman" w:hAnsi="Times New Roman" w:cs="Times New Roman"/>
              </w:rPr>
            </w:pPr>
            <w:r w:rsidRPr="00B3532A">
              <w:rPr>
                <w:rFonts w:ascii="Times New Roman" w:hAnsi="Times New Roman" w:cs="Times New Roman"/>
              </w:rPr>
              <w:t>However, vulnerability in teaching is real and profoundly affects teachers’ job satisfaction and the quality of their professional performance (</w:t>
            </w:r>
            <w:proofErr w:type="spellStart"/>
            <w:r w:rsidRPr="00B3532A">
              <w:rPr>
                <w:rFonts w:ascii="Times New Roman" w:hAnsi="Times New Roman" w:cs="Times New Roman"/>
              </w:rPr>
              <w:t>Kelchtermans</w:t>
            </w:r>
            <w:proofErr w:type="spellEnd"/>
            <w:r w:rsidRPr="00B3532A">
              <w:rPr>
                <w:rFonts w:ascii="Times New Roman" w:hAnsi="Times New Roman" w:cs="Times New Roman"/>
              </w:rPr>
              <w:t>, 1996, p. 307-308).</w:t>
            </w:r>
          </w:p>
          <w:p w14:paraId="155539A2" w14:textId="77777777" w:rsidR="0055587A" w:rsidRPr="00B3532A" w:rsidRDefault="0055587A" w:rsidP="0055587A">
            <w:pPr>
              <w:rPr>
                <w:rFonts w:ascii="Times New Roman" w:hAnsi="Times New Roman" w:cs="Times New Roman"/>
              </w:rPr>
            </w:pPr>
          </w:p>
          <w:p w14:paraId="27ED4C1F" w14:textId="77777777" w:rsidR="0055587A" w:rsidRPr="00B3532A" w:rsidRDefault="0055587A" w:rsidP="00F45321">
            <w:pPr>
              <w:rPr>
                <w:rFonts w:ascii="Times New Roman" w:hAnsi="Times New Roman" w:cs="Times New Roman"/>
              </w:rPr>
            </w:pPr>
          </w:p>
        </w:tc>
        <w:tc>
          <w:tcPr>
            <w:tcW w:w="2590" w:type="dxa"/>
          </w:tcPr>
          <w:p w14:paraId="558E1508" w14:textId="77777777" w:rsidR="0055587A" w:rsidRPr="00B3532A" w:rsidRDefault="0055587A">
            <w:pPr>
              <w:rPr>
                <w:rFonts w:ascii="Times New Roman" w:hAnsi="Times New Roman" w:cs="Times New Roman"/>
              </w:rPr>
            </w:pPr>
          </w:p>
        </w:tc>
        <w:tc>
          <w:tcPr>
            <w:tcW w:w="2590" w:type="dxa"/>
          </w:tcPr>
          <w:p w14:paraId="3479915C" w14:textId="77777777" w:rsidR="00B36EE6" w:rsidRPr="00B3532A" w:rsidRDefault="00B36EE6" w:rsidP="00B36EE6">
            <w:pPr>
              <w:autoSpaceDE w:val="0"/>
              <w:autoSpaceDN w:val="0"/>
              <w:adjustRightInd w:val="0"/>
              <w:rPr>
                <w:rFonts w:ascii="Times New Roman" w:hAnsi="Times New Roman" w:cs="Times New Roman"/>
              </w:rPr>
            </w:pPr>
            <w:r w:rsidRPr="00B3532A">
              <w:rPr>
                <w:rFonts w:ascii="Times New Roman" w:hAnsi="Times New Roman" w:cs="Times New Roman"/>
              </w:rPr>
              <w:t>They include hidden acts such as silence (</w:t>
            </w:r>
            <w:proofErr w:type="spellStart"/>
            <w:r w:rsidRPr="00B3532A">
              <w:rPr>
                <w:rFonts w:ascii="Times New Roman" w:hAnsi="Times New Roman" w:cs="Times New Roman"/>
                <w:highlight w:val="yellow"/>
              </w:rPr>
              <w:t>Niesche</w:t>
            </w:r>
            <w:proofErr w:type="spellEnd"/>
            <w:r w:rsidRPr="00B3532A">
              <w:rPr>
                <w:rFonts w:ascii="Times New Roman" w:hAnsi="Times New Roman" w:cs="Times New Roman"/>
                <w:highlight w:val="yellow"/>
              </w:rPr>
              <w:t>, 2013</w:t>
            </w:r>
            <w:r w:rsidRPr="00B3532A">
              <w:rPr>
                <w:rFonts w:ascii="Times New Roman" w:hAnsi="Times New Roman" w:cs="Times New Roman"/>
              </w:rPr>
              <w:t>) disengagement (</w:t>
            </w:r>
            <w:proofErr w:type="spellStart"/>
            <w:r w:rsidRPr="00B3532A">
              <w:rPr>
                <w:rFonts w:ascii="Times New Roman" w:hAnsi="Times New Roman" w:cs="Times New Roman"/>
                <w:highlight w:val="yellow"/>
              </w:rPr>
              <w:t>Shain</w:t>
            </w:r>
            <w:proofErr w:type="spellEnd"/>
            <w:r w:rsidRPr="00B3532A">
              <w:rPr>
                <w:rFonts w:ascii="Times New Roman" w:hAnsi="Times New Roman" w:cs="Times New Roman"/>
                <w:highlight w:val="yellow"/>
              </w:rPr>
              <w:t xml:space="preserve"> &amp; Gleeson, 1999</w:t>
            </w:r>
            <w:r w:rsidRPr="00B3532A">
              <w:rPr>
                <w:rFonts w:ascii="Times New Roman" w:hAnsi="Times New Roman" w:cs="Times New Roman"/>
              </w:rPr>
              <w:t>) “foot dragging” or delay, false compliance, slander and flight (</w:t>
            </w:r>
            <w:r w:rsidRPr="00B3532A">
              <w:rPr>
                <w:rFonts w:ascii="Times New Roman" w:hAnsi="Times New Roman" w:cs="Times New Roman"/>
                <w:highlight w:val="yellow"/>
              </w:rPr>
              <w:t>Scott, 1989, p. 34</w:t>
            </w:r>
            <w:r w:rsidRPr="00B3532A">
              <w:rPr>
                <w:rFonts w:ascii="Times New Roman" w:hAnsi="Times New Roman" w:cs="Times New Roman"/>
              </w:rPr>
              <w:t>).  These alternative forms are used when overt forms prove dangerous (Fuller, 2019, p. 34).</w:t>
            </w:r>
          </w:p>
          <w:p w14:paraId="46C9B098" w14:textId="77777777" w:rsidR="0055587A" w:rsidRPr="00B3532A" w:rsidRDefault="0055587A">
            <w:pPr>
              <w:rPr>
                <w:rFonts w:ascii="Times New Roman" w:hAnsi="Times New Roman" w:cs="Times New Roman"/>
              </w:rPr>
            </w:pPr>
          </w:p>
        </w:tc>
      </w:tr>
      <w:tr w:rsidR="0055587A" w:rsidRPr="00B3532A" w14:paraId="7E7D1F0F" w14:textId="77777777" w:rsidTr="00C427AD">
        <w:tc>
          <w:tcPr>
            <w:tcW w:w="2590" w:type="dxa"/>
          </w:tcPr>
          <w:p w14:paraId="5F3981D3" w14:textId="77777777" w:rsidR="0055587A" w:rsidRPr="00B3532A" w:rsidRDefault="0055587A" w:rsidP="0055587A">
            <w:pPr>
              <w:rPr>
                <w:rFonts w:ascii="Times New Roman" w:hAnsi="Times New Roman" w:cs="Times New Roman"/>
              </w:rPr>
            </w:pPr>
          </w:p>
        </w:tc>
        <w:tc>
          <w:tcPr>
            <w:tcW w:w="2590" w:type="dxa"/>
          </w:tcPr>
          <w:p w14:paraId="3C366CF2" w14:textId="0D34683D" w:rsidR="0055587A" w:rsidRPr="00B3532A" w:rsidRDefault="0055587A">
            <w:pPr>
              <w:rPr>
                <w:rFonts w:ascii="Times New Roman" w:hAnsi="Times New Roman" w:cs="Times New Roman"/>
              </w:rPr>
            </w:pPr>
          </w:p>
        </w:tc>
        <w:tc>
          <w:tcPr>
            <w:tcW w:w="2590" w:type="dxa"/>
          </w:tcPr>
          <w:p w14:paraId="420DAA63" w14:textId="77777777" w:rsidR="00E6349C" w:rsidRPr="00DA075D" w:rsidRDefault="00E6349C" w:rsidP="00E6349C">
            <w:pPr>
              <w:shd w:val="clear" w:color="auto" w:fill="FFFFFF"/>
              <w:rPr>
                <w:rFonts w:ascii="Times New Roman" w:hAnsi="Times New Roman" w:cs="Times New Roman"/>
              </w:rPr>
            </w:pPr>
            <w:r w:rsidRPr="00DA075D">
              <w:rPr>
                <w:rFonts w:ascii="Times New Roman" w:hAnsi="Times New Roman" w:cs="Times New Roman"/>
              </w:rPr>
              <w:t xml:space="preserve">While vulnerability is part of teaching, teachers manage it differently, and these differences have profound importance for teachers and their development, students </w:t>
            </w:r>
            <w:r w:rsidRPr="00DA075D">
              <w:rPr>
                <w:rFonts w:ascii="Times New Roman" w:hAnsi="Times New Roman" w:cs="Times New Roman"/>
              </w:rPr>
              <w:lastRenderedPageBreak/>
              <w:t xml:space="preserve">and their learning, and teacher educators and their practice.  Some teachers seek to make themselves invulnerable, immune to the possibility of failing, while others seem to enjoy risking self” (Bullough, 2005, p. 23). </w:t>
            </w:r>
          </w:p>
          <w:p w14:paraId="0EFE4BF8" w14:textId="77777777" w:rsidR="0055587A" w:rsidRPr="00B3532A" w:rsidRDefault="0055587A" w:rsidP="00F45321">
            <w:pPr>
              <w:autoSpaceDE w:val="0"/>
              <w:autoSpaceDN w:val="0"/>
              <w:adjustRightInd w:val="0"/>
              <w:rPr>
                <w:rFonts w:ascii="Times New Roman" w:hAnsi="Times New Roman" w:cs="Times New Roman"/>
              </w:rPr>
            </w:pPr>
          </w:p>
        </w:tc>
        <w:tc>
          <w:tcPr>
            <w:tcW w:w="2590" w:type="dxa"/>
          </w:tcPr>
          <w:p w14:paraId="4CB52A95" w14:textId="77777777" w:rsidR="0055587A" w:rsidRPr="00B3532A" w:rsidRDefault="0055587A">
            <w:pPr>
              <w:rPr>
                <w:rFonts w:ascii="Times New Roman" w:hAnsi="Times New Roman" w:cs="Times New Roman"/>
              </w:rPr>
            </w:pPr>
          </w:p>
        </w:tc>
        <w:tc>
          <w:tcPr>
            <w:tcW w:w="2590" w:type="dxa"/>
          </w:tcPr>
          <w:p w14:paraId="72DFA71D" w14:textId="77777777" w:rsidR="00647755" w:rsidRDefault="00647755" w:rsidP="00647755">
            <w:pPr>
              <w:autoSpaceDE w:val="0"/>
              <w:autoSpaceDN w:val="0"/>
              <w:adjustRightInd w:val="0"/>
              <w:rPr>
                <w:rFonts w:ascii="Times New Roman" w:hAnsi="Times New Roman" w:cs="Times New Roman"/>
              </w:rPr>
            </w:pPr>
            <w:r>
              <w:rPr>
                <w:rFonts w:ascii="Times New Roman" w:hAnsi="Times New Roman" w:cs="Times New Roman"/>
              </w:rPr>
              <w:t xml:space="preserve">Discourses of risk and crisis have facilitated colonization by engendering fear and precarity to perpetuate the ontological insecurity associated with changing </w:t>
            </w:r>
            <w:r>
              <w:rPr>
                <w:rFonts w:ascii="Times New Roman" w:hAnsi="Times New Roman" w:cs="Times New Roman"/>
              </w:rPr>
              <w:lastRenderedPageBreak/>
              <w:t>constructions of what in education is, could and should be valued (</w:t>
            </w:r>
            <w:r w:rsidRPr="005514F9">
              <w:rPr>
                <w:rFonts w:ascii="Times New Roman" w:hAnsi="Times New Roman" w:cs="Times New Roman"/>
                <w:highlight w:val="yellow"/>
              </w:rPr>
              <w:t>Ball, 2003</w:t>
            </w:r>
            <w:r>
              <w:rPr>
                <w:rFonts w:ascii="Times New Roman" w:hAnsi="Times New Roman" w:cs="Times New Roman"/>
              </w:rPr>
              <w:t xml:space="preserve"> as cited by </w:t>
            </w:r>
            <w:r w:rsidRPr="00906D87">
              <w:rPr>
                <w:rFonts w:ascii="Times New Roman" w:hAnsi="Times New Roman" w:cs="Times New Roman"/>
              </w:rPr>
              <w:t xml:space="preserve">Fuller, 2019, </w:t>
            </w:r>
            <w:r>
              <w:rPr>
                <w:rFonts w:ascii="Times New Roman" w:hAnsi="Times New Roman" w:cs="Times New Roman"/>
              </w:rPr>
              <w:t>p. 32</w:t>
            </w:r>
            <w:r w:rsidRPr="00906D87">
              <w:rPr>
                <w:rFonts w:ascii="Times New Roman" w:hAnsi="Times New Roman" w:cs="Times New Roman"/>
              </w:rPr>
              <w:t>).</w:t>
            </w:r>
          </w:p>
          <w:p w14:paraId="5D2F6687" w14:textId="77777777" w:rsidR="0055587A" w:rsidRPr="00B3532A" w:rsidRDefault="0055587A">
            <w:pPr>
              <w:rPr>
                <w:rFonts w:ascii="Times New Roman" w:hAnsi="Times New Roman" w:cs="Times New Roman"/>
              </w:rPr>
            </w:pPr>
          </w:p>
        </w:tc>
      </w:tr>
      <w:tr w:rsidR="0055587A" w:rsidRPr="00B3532A" w14:paraId="1741D1D3" w14:textId="77777777" w:rsidTr="00C427AD">
        <w:tc>
          <w:tcPr>
            <w:tcW w:w="2590" w:type="dxa"/>
          </w:tcPr>
          <w:p w14:paraId="49B393C6" w14:textId="77777777" w:rsidR="0055587A" w:rsidRPr="00B3532A" w:rsidRDefault="0055587A" w:rsidP="0055587A">
            <w:pPr>
              <w:rPr>
                <w:rFonts w:ascii="Times New Roman" w:hAnsi="Times New Roman" w:cs="Times New Roman"/>
              </w:rPr>
            </w:pPr>
          </w:p>
        </w:tc>
        <w:tc>
          <w:tcPr>
            <w:tcW w:w="2590" w:type="dxa"/>
          </w:tcPr>
          <w:p w14:paraId="0938E2E2" w14:textId="77777777" w:rsidR="0055587A" w:rsidRPr="00B3532A" w:rsidRDefault="0055587A" w:rsidP="00D4154E">
            <w:pPr>
              <w:rPr>
                <w:rFonts w:ascii="Times New Roman" w:hAnsi="Times New Roman" w:cs="Times New Roman"/>
              </w:rPr>
            </w:pPr>
          </w:p>
        </w:tc>
        <w:tc>
          <w:tcPr>
            <w:tcW w:w="2590" w:type="dxa"/>
          </w:tcPr>
          <w:p w14:paraId="6664A44F" w14:textId="77777777" w:rsidR="0055587A" w:rsidRPr="00B3532A" w:rsidRDefault="0055587A" w:rsidP="00E6349C">
            <w:pPr>
              <w:shd w:val="clear" w:color="auto" w:fill="FFFFFF"/>
              <w:rPr>
                <w:rFonts w:ascii="Times New Roman" w:hAnsi="Times New Roman" w:cs="Times New Roman"/>
              </w:rPr>
            </w:pPr>
          </w:p>
        </w:tc>
        <w:tc>
          <w:tcPr>
            <w:tcW w:w="2590" w:type="dxa"/>
          </w:tcPr>
          <w:p w14:paraId="3E004AFC" w14:textId="77777777" w:rsidR="0055587A" w:rsidRPr="00B3532A" w:rsidRDefault="0055587A">
            <w:pPr>
              <w:rPr>
                <w:rFonts w:ascii="Times New Roman" w:hAnsi="Times New Roman" w:cs="Times New Roman"/>
              </w:rPr>
            </w:pPr>
          </w:p>
        </w:tc>
        <w:tc>
          <w:tcPr>
            <w:tcW w:w="2590" w:type="dxa"/>
          </w:tcPr>
          <w:p w14:paraId="1E5C0611" w14:textId="77777777" w:rsidR="000A0234" w:rsidRPr="00EB2710" w:rsidRDefault="000A0234" w:rsidP="000A0234">
            <w:pPr>
              <w:rPr>
                <w:rFonts w:ascii="Times New Roman" w:hAnsi="Times New Roman" w:cs="Times New Roman"/>
              </w:rPr>
            </w:pPr>
            <w:r w:rsidRPr="00EB2710">
              <w:rPr>
                <w:rFonts w:ascii="Times New Roman" w:hAnsi="Times New Roman" w:cs="Times New Roman"/>
              </w:rPr>
              <w:t>Work-related posttraumatic stress disorder (PTSD) has received widespread attention among military personnel, first responders, and emergency health care workers, whose jobs put them at elevated risk for the condition (</w:t>
            </w:r>
            <w:r w:rsidRPr="00EB2710">
              <w:rPr>
                <w:rFonts w:ascii="Times New Roman" w:hAnsi="Times New Roman" w:cs="Times New Roman"/>
                <w:highlight w:val="yellow"/>
              </w:rPr>
              <w:t>1,2 as cited</w:t>
            </w:r>
            <w:r w:rsidRPr="00EB2710">
              <w:rPr>
                <w:rFonts w:ascii="Times New Roman" w:hAnsi="Times New Roman" w:cs="Times New Roman"/>
              </w:rPr>
              <w:t xml:space="preserve"> by Hilton, Ham, Rodrigues, </w:t>
            </w:r>
            <w:proofErr w:type="spellStart"/>
            <w:r w:rsidRPr="00EB2710">
              <w:rPr>
                <w:rFonts w:ascii="Times New Roman" w:hAnsi="Times New Roman" w:cs="Times New Roman"/>
              </w:rPr>
              <w:t>Kirsh</w:t>
            </w:r>
            <w:proofErr w:type="spellEnd"/>
            <w:r w:rsidRPr="00EB2710">
              <w:rPr>
                <w:rFonts w:ascii="Times New Roman" w:hAnsi="Times New Roman" w:cs="Times New Roman"/>
              </w:rPr>
              <w:t xml:space="preserve">, </w:t>
            </w:r>
            <w:proofErr w:type="spellStart"/>
            <w:r w:rsidRPr="00EB2710">
              <w:rPr>
                <w:rFonts w:ascii="Times New Roman" w:hAnsi="Times New Roman" w:cs="Times New Roman"/>
              </w:rPr>
              <w:t>Chapovalov</w:t>
            </w:r>
            <w:proofErr w:type="spellEnd"/>
            <w:r w:rsidRPr="00EB2710">
              <w:rPr>
                <w:rFonts w:ascii="Times New Roman" w:hAnsi="Times New Roman" w:cs="Times New Roman"/>
              </w:rPr>
              <w:t xml:space="preserve"> &amp; </w:t>
            </w:r>
            <w:proofErr w:type="spellStart"/>
            <w:r w:rsidRPr="00EB2710">
              <w:rPr>
                <w:rFonts w:ascii="Times New Roman" w:hAnsi="Times New Roman" w:cs="Times New Roman"/>
              </w:rPr>
              <w:t>Seto</w:t>
            </w:r>
            <w:proofErr w:type="spellEnd"/>
            <w:r w:rsidRPr="00EB2710">
              <w:rPr>
                <w:rFonts w:ascii="Times New Roman" w:hAnsi="Times New Roman" w:cs="Times New Roman"/>
              </w:rPr>
              <w:t>, 2020, p. 221).</w:t>
            </w:r>
          </w:p>
          <w:p w14:paraId="2C4968AF" w14:textId="77777777" w:rsidR="0055587A" w:rsidRPr="00B3532A" w:rsidRDefault="0055587A">
            <w:pPr>
              <w:rPr>
                <w:rFonts w:ascii="Times New Roman" w:hAnsi="Times New Roman" w:cs="Times New Roman"/>
              </w:rPr>
            </w:pPr>
          </w:p>
        </w:tc>
      </w:tr>
      <w:tr w:rsidR="0055587A" w:rsidRPr="00B3532A" w14:paraId="7C623042" w14:textId="77777777" w:rsidTr="00C427AD">
        <w:tc>
          <w:tcPr>
            <w:tcW w:w="2590" w:type="dxa"/>
          </w:tcPr>
          <w:p w14:paraId="1F7D77A7" w14:textId="77777777" w:rsidR="0055587A" w:rsidRPr="00B3532A" w:rsidRDefault="0055587A" w:rsidP="0055587A">
            <w:pPr>
              <w:rPr>
                <w:rFonts w:ascii="Times New Roman" w:hAnsi="Times New Roman" w:cs="Times New Roman"/>
              </w:rPr>
            </w:pPr>
          </w:p>
        </w:tc>
        <w:tc>
          <w:tcPr>
            <w:tcW w:w="2590" w:type="dxa"/>
          </w:tcPr>
          <w:p w14:paraId="2B63F3CC" w14:textId="77777777" w:rsidR="0055587A" w:rsidRPr="00B3532A" w:rsidRDefault="0055587A" w:rsidP="00D4154E">
            <w:pPr>
              <w:rPr>
                <w:rFonts w:ascii="Times New Roman" w:hAnsi="Times New Roman" w:cs="Times New Roman"/>
              </w:rPr>
            </w:pPr>
          </w:p>
        </w:tc>
        <w:tc>
          <w:tcPr>
            <w:tcW w:w="2590" w:type="dxa"/>
          </w:tcPr>
          <w:p w14:paraId="348CA071" w14:textId="77777777" w:rsidR="0055587A" w:rsidRPr="00B3532A" w:rsidRDefault="0055587A">
            <w:pPr>
              <w:rPr>
                <w:rFonts w:ascii="Times New Roman" w:hAnsi="Times New Roman" w:cs="Times New Roman"/>
              </w:rPr>
            </w:pPr>
          </w:p>
        </w:tc>
        <w:tc>
          <w:tcPr>
            <w:tcW w:w="2590" w:type="dxa"/>
          </w:tcPr>
          <w:p w14:paraId="11F3E5E5" w14:textId="77777777" w:rsidR="0055587A" w:rsidRPr="00B3532A" w:rsidRDefault="0055587A">
            <w:pPr>
              <w:rPr>
                <w:rFonts w:ascii="Times New Roman" w:hAnsi="Times New Roman" w:cs="Times New Roman"/>
              </w:rPr>
            </w:pPr>
          </w:p>
        </w:tc>
        <w:tc>
          <w:tcPr>
            <w:tcW w:w="2590" w:type="dxa"/>
          </w:tcPr>
          <w:p w14:paraId="63CA2B3D" w14:textId="77777777" w:rsidR="009759D6" w:rsidRDefault="009759D6" w:rsidP="009759D6">
            <w:pPr>
              <w:rPr>
                <w:rFonts w:ascii="Times New Roman" w:hAnsi="Times New Roman" w:cs="Times New Roman"/>
              </w:rPr>
            </w:pPr>
            <w:r>
              <w:rPr>
                <w:rFonts w:ascii="Times New Roman" w:hAnsi="Times New Roman" w:cs="Times New Roman"/>
              </w:rPr>
              <w:t xml:space="preserve">Exposure to critical events and number of chronic stressors were significant contributors to PTSD symptoms.  Neither discipline nor </w:t>
            </w:r>
            <w:r>
              <w:rPr>
                <w:rFonts w:ascii="Times New Roman" w:hAnsi="Times New Roman" w:cs="Times New Roman"/>
              </w:rPr>
              <w:lastRenderedPageBreak/>
              <w:t>gender provided additional explanatory power (</w:t>
            </w:r>
            <w:r w:rsidRPr="00EB2710">
              <w:rPr>
                <w:rFonts w:ascii="Times New Roman" w:hAnsi="Times New Roman" w:cs="Times New Roman"/>
              </w:rPr>
              <w:t xml:space="preserve">Hilton, Ham, Rodrigues, </w:t>
            </w:r>
            <w:proofErr w:type="spellStart"/>
            <w:r w:rsidRPr="00EB2710">
              <w:rPr>
                <w:rFonts w:ascii="Times New Roman" w:hAnsi="Times New Roman" w:cs="Times New Roman"/>
              </w:rPr>
              <w:t>Kirsh</w:t>
            </w:r>
            <w:proofErr w:type="spellEnd"/>
            <w:r w:rsidRPr="00EB2710">
              <w:rPr>
                <w:rFonts w:ascii="Times New Roman" w:hAnsi="Times New Roman" w:cs="Times New Roman"/>
              </w:rPr>
              <w:t xml:space="preserve">, </w:t>
            </w:r>
            <w:proofErr w:type="spellStart"/>
            <w:r w:rsidRPr="00EB2710">
              <w:rPr>
                <w:rFonts w:ascii="Times New Roman" w:hAnsi="Times New Roman" w:cs="Times New Roman"/>
              </w:rPr>
              <w:t>Chapovalov</w:t>
            </w:r>
            <w:proofErr w:type="spellEnd"/>
            <w:r w:rsidRPr="00EB2710">
              <w:rPr>
                <w:rFonts w:ascii="Times New Roman" w:hAnsi="Times New Roman" w:cs="Times New Roman"/>
              </w:rPr>
              <w:t xml:space="preserve"> &amp; </w:t>
            </w:r>
            <w:proofErr w:type="spellStart"/>
            <w:r w:rsidRPr="00EB2710">
              <w:rPr>
                <w:rFonts w:ascii="Times New Roman" w:hAnsi="Times New Roman" w:cs="Times New Roman"/>
              </w:rPr>
              <w:t>Seto</w:t>
            </w:r>
            <w:proofErr w:type="spellEnd"/>
            <w:r w:rsidRPr="00EB2710">
              <w:rPr>
                <w:rFonts w:ascii="Times New Roman" w:hAnsi="Times New Roman" w:cs="Times New Roman"/>
              </w:rPr>
              <w:t xml:space="preserve">, 2020, p. </w:t>
            </w:r>
            <w:r>
              <w:rPr>
                <w:rFonts w:ascii="Times New Roman" w:hAnsi="Times New Roman" w:cs="Times New Roman"/>
              </w:rPr>
              <w:t>224</w:t>
            </w:r>
            <w:r w:rsidRPr="00EB2710">
              <w:rPr>
                <w:rFonts w:ascii="Times New Roman" w:hAnsi="Times New Roman" w:cs="Times New Roman"/>
              </w:rPr>
              <w:t>).</w:t>
            </w:r>
          </w:p>
          <w:p w14:paraId="54C749AC" w14:textId="77777777" w:rsidR="0055587A" w:rsidRPr="00B3532A" w:rsidRDefault="0055587A">
            <w:pPr>
              <w:rPr>
                <w:rFonts w:ascii="Times New Roman" w:hAnsi="Times New Roman" w:cs="Times New Roman"/>
              </w:rPr>
            </w:pPr>
          </w:p>
        </w:tc>
      </w:tr>
      <w:tr w:rsidR="001C142D" w:rsidRPr="00B3532A" w14:paraId="37159924" w14:textId="77777777" w:rsidTr="00C427AD">
        <w:tc>
          <w:tcPr>
            <w:tcW w:w="2590" w:type="dxa"/>
          </w:tcPr>
          <w:p w14:paraId="11CC1CF8" w14:textId="77777777" w:rsidR="001C142D" w:rsidRPr="00B3532A" w:rsidRDefault="001C142D" w:rsidP="0055587A">
            <w:pPr>
              <w:rPr>
                <w:rFonts w:ascii="Times New Roman" w:hAnsi="Times New Roman" w:cs="Times New Roman"/>
              </w:rPr>
            </w:pPr>
          </w:p>
        </w:tc>
        <w:tc>
          <w:tcPr>
            <w:tcW w:w="2590" w:type="dxa"/>
          </w:tcPr>
          <w:p w14:paraId="5E80146F" w14:textId="77777777" w:rsidR="001C142D" w:rsidRPr="00B3532A" w:rsidRDefault="001C142D">
            <w:pPr>
              <w:rPr>
                <w:rFonts w:ascii="Times New Roman" w:hAnsi="Times New Roman" w:cs="Times New Roman"/>
              </w:rPr>
            </w:pPr>
          </w:p>
        </w:tc>
        <w:tc>
          <w:tcPr>
            <w:tcW w:w="2590" w:type="dxa"/>
          </w:tcPr>
          <w:p w14:paraId="729CC4F5" w14:textId="77777777" w:rsidR="001C142D" w:rsidRPr="00B3532A" w:rsidRDefault="001C142D">
            <w:pPr>
              <w:rPr>
                <w:rFonts w:ascii="Times New Roman" w:hAnsi="Times New Roman" w:cs="Times New Roman"/>
              </w:rPr>
            </w:pPr>
          </w:p>
        </w:tc>
        <w:tc>
          <w:tcPr>
            <w:tcW w:w="2590" w:type="dxa"/>
          </w:tcPr>
          <w:p w14:paraId="033CD4A8" w14:textId="77777777" w:rsidR="001C142D" w:rsidRPr="00B3532A" w:rsidRDefault="001C142D">
            <w:pPr>
              <w:rPr>
                <w:rFonts w:ascii="Times New Roman" w:hAnsi="Times New Roman" w:cs="Times New Roman"/>
              </w:rPr>
            </w:pPr>
          </w:p>
        </w:tc>
        <w:tc>
          <w:tcPr>
            <w:tcW w:w="2590" w:type="dxa"/>
          </w:tcPr>
          <w:p w14:paraId="52A0D963" w14:textId="77777777" w:rsidR="001C142D" w:rsidRPr="00F474CC" w:rsidRDefault="001C142D" w:rsidP="001C142D">
            <w:pPr>
              <w:rPr>
                <w:rFonts w:ascii="Times New Roman" w:hAnsi="Times New Roman" w:cs="Times New Roman"/>
              </w:rPr>
            </w:pPr>
            <w:r>
              <w:rPr>
                <w:rFonts w:ascii="Times New Roman" w:hAnsi="Times New Roman" w:cs="Times New Roman"/>
              </w:rPr>
              <w:t>Our finding that chronic stressors contribute as much as critical events is a strength of our study (</w:t>
            </w:r>
            <w:r w:rsidRPr="00EB2710">
              <w:rPr>
                <w:rFonts w:ascii="Times New Roman" w:hAnsi="Times New Roman" w:cs="Times New Roman"/>
              </w:rPr>
              <w:t xml:space="preserve">Hilton, Ham, Rodrigues, </w:t>
            </w:r>
            <w:proofErr w:type="spellStart"/>
            <w:r w:rsidRPr="00EB2710">
              <w:rPr>
                <w:rFonts w:ascii="Times New Roman" w:hAnsi="Times New Roman" w:cs="Times New Roman"/>
              </w:rPr>
              <w:t>Kirsh</w:t>
            </w:r>
            <w:proofErr w:type="spellEnd"/>
            <w:r w:rsidRPr="00EB2710">
              <w:rPr>
                <w:rFonts w:ascii="Times New Roman" w:hAnsi="Times New Roman" w:cs="Times New Roman"/>
              </w:rPr>
              <w:t xml:space="preserve">, </w:t>
            </w:r>
            <w:proofErr w:type="spellStart"/>
            <w:r w:rsidRPr="00EB2710">
              <w:rPr>
                <w:rFonts w:ascii="Times New Roman" w:hAnsi="Times New Roman" w:cs="Times New Roman"/>
              </w:rPr>
              <w:t>Chapovalov</w:t>
            </w:r>
            <w:proofErr w:type="spellEnd"/>
            <w:r w:rsidRPr="00EB2710">
              <w:rPr>
                <w:rFonts w:ascii="Times New Roman" w:hAnsi="Times New Roman" w:cs="Times New Roman"/>
              </w:rPr>
              <w:t xml:space="preserve"> &amp; </w:t>
            </w:r>
            <w:proofErr w:type="spellStart"/>
            <w:r w:rsidRPr="00EB2710">
              <w:rPr>
                <w:rFonts w:ascii="Times New Roman" w:hAnsi="Times New Roman" w:cs="Times New Roman"/>
              </w:rPr>
              <w:t>Seto</w:t>
            </w:r>
            <w:proofErr w:type="spellEnd"/>
            <w:r w:rsidRPr="00EB2710">
              <w:rPr>
                <w:rFonts w:ascii="Times New Roman" w:hAnsi="Times New Roman" w:cs="Times New Roman"/>
              </w:rPr>
              <w:t xml:space="preserve">, 2020, p. </w:t>
            </w:r>
            <w:r>
              <w:rPr>
                <w:rFonts w:ascii="Times New Roman" w:hAnsi="Times New Roman" w:cs="Times New Roman"/>
              </w:rPr>
              <w:t>224</w:t>
            </w:r>
            <w:r w:rsidRPr="00EB2710">
              <w:rPr>
                <w:rFonts w:ascii="Times New Roman" w:hAnsi="Times New Roman" w:cs="Times New Roman"/>
              </w:rPr>
              <w:t>).</w:t>
            </w:r>
          </w:p>
          <w:p w14:paraId="4FB6E901" w14:textId="77777777" w:rsidR="001C142D" w:rsidRDefault="001C142D" w:rsidP="009759D6">
            <w:pPr>
              <w:rPr>
                <w:rFonts w:ascii="Times New Roman" w:hAnsi="Times New Roman" w:cs="Times New Roman"/>
              </w:rPr>
            </w:pPr>
          </w:p>
        </w:tc>
      </w:tr>
    </w:tbl>
    <w:p w14:paraId="187AFBAB" w14:textId="77777777" w:rsidR="00312E8B" w:rsidRPr="00B3532A" w:rsidRDefault="00665944">
      <w:pPr>
        <w:rPr>
          <w:rFonts w:ascii="Times New Roman" w:hAnsi="Times New Roman" w:cs="Times New Roman"/>
        </w:rPr>
      </w:pPr>
    </w:p>
    <w:sectPr w:rsidR="00312E8B" w:rsidRPr="00B3532A" w:rsidSect="00EB13F0">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A88679" w14:textId="77777777" w:rsidR="00665944" w:rsidRDefault="00665944" w:rsidP="00EB13F0">
      <w:r>
        <w:separator/>
      </w:r>
    </w:p>
  </w:endnote>
  <w:endnote w:type="continuationSeparator" w:id="0">
    <w:p w14:paraId="009EFBC8" w14:textId="77777777" w:rsidR="00665944" w:rsidRDefault="00665944" w:rsidP="00EB13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21E23F" w14:textId="77777777" w:rsidR="00665944" w:rsidRDefault="00665944" w:rsidP="00EB13F0">
      <w:r>
        <w:separator/>
      </w:r>
    </w:p>
  </w:footnote>
  <w:footnote w:type="continuationSeparator" w:id="0">
    <w:p w14:paraId="5EE0032C" w14:textId="77777777" w:rsidR="00665944" w:rsidRDefault="00665944" w:rsidP="00EB13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D4A917" w14:textId="5C551318" w:rsidR="00EB13F0" w:rsidRDefault="00EB13F0">
    <w:pPr>
      <w:pStyle w:val="Header"/>
    </w:pPr>
    <w:r>
      <w:t>Vulnerable and Marginalized Populations- 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3F0"/>
    <w:rsid w:val="00037DD0"/>
    <w:rsid w:val="000A0234"/>
    <w:rsid w:val="001C142D"/>
    <w:rsid w:val="001F223D"/>
    <w:rsid w:val="00223DEA"/>
    <w:rsid w:val="002D2317"/>
    <w:rsid w:val="002E3F3A"/>
    <w:rsid w:val="0033708F"/>
    <w:rsid w:val="00390D24"/>
    <w:rsid w:val="00407096"/>
    <w:rsid w:val="004761FC"/>
    <w:rsid w:val="0055587A"/>
    <w:rsid w:val="00621C00"/>
    <w:rsid w:val="006465DA"/>
    <w:rsid w:val="00647755"/>
    <w:rsid w:val="00665944"/>
    <w:rsid w:val="00861A69"/>
    <w:rsid w:val="0087393C"/>
    <w:rsid w:val="00912260"/>
    <w:rsid w:val="009759D6"/>
    <w:rsid w:val="00AB0A54"/>
    <w:rsid w:val="00B3532A"/>
    <w:rsid w:val="00B36EE6"/>
    <w:rsid w:val="00B7049D"/>
    <w:rsid w:val="00B85601"/>
    <w:rsid w:val="00BA3BDD"/>
    <w:rsid w:val="00C03CFA"/>
    <w:rsid w:val="00C427AD"/>
    <w:rsid w:val="00C51784"/>
    <w:rsid w:val="00D4154E"/>
    <w:rsid w:val="00DF0F74"/>
    <w:rsid w:val="00E6349C"/>
    <w:rsid w:val="00EB13F0"/>
    <w:rsid w:val="00F45321"/>
    <w:rsid w:val="00F67B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11D7ACE"/>
  <w14:defaultImageDpi w14:val="32767"/>
  <w15:chartTrackingRefBased/>
  <w15:docId w15:val="{113DF2C4-6BCD-5642-A39B-3584D4C29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13F0"/>
    <w:pPr>
      <w:tabs>
        <w:tab w:val="center" w:pos="4680"/>
        <w:tab w:val="right" w:pos="9360"/>
      </w:tabs>
    </w:pPr>
  </w:style>
  <w:style w:type="character" w:customStyle="1" w:styleId="HeaderChar">
    <w:name w:val="Header Char"/>
    <w:basedOn w:val="DefaultParagraphFont"/>
    <w:link w:val="Header"/>
    <w:uiPriority w:val="99"/>
    <w:rsid w:val="00EB13F0"/>
    <w:rPr>
      <w:rFonts w:eastAsiaTheme="minorEastAsia"/>
    </w:rPr>
  </w:style>
  <w:style w:type="paragraph" w:styleId="Footer">
    <w:name w:val="footer"/>
    <w:basedOn w:val="Normal"/>
    <w:link w:val="FooterChar"/>
    <w:uiPriority w:val="99"/>
    <w:unhideWhenUsed/>
    <w:rsid w:val="00EB13F0"/>
    <w:pPr>
      <w:tabs>
        <w:tab w:val="center" w:pos="4680"/>
        <w:tab w:val="right" w:pos="9360"/>
      </w:tabs>
    </w:pPr>
  </w:style>
  <w:style w:type="character" w:customStyle="1" w:styleId="FooterChar">
    <w:name w:val="Footer Char"/>
    <w:basedOn w:val="DefaultParagraphFont"/>
    <w:link w:val="Footer"/>
    <w:uiPriority w:val="99"/>
    <w:rsid w:val="00EB13F0"/>
    <w:rPr>
      <w:rFonts w:eastAsiaTheme="minorEastAsia"/>
    </w:rPr>
  </w:style>
  <w:style w:type="table" w:styleId="TableGrid">
    <w:name w:val="Table Grid"/>
    <w:basedOn w:val="TableNormal"/>
    <w:uiPriority w:val="39"/>
    <w:rsid w:val="00C427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961</Words>
  <Characters>5483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16</cp:revision>
  <dcterms:created xsi:type="dcterms:W3CDTF">2020-08-31T23:04:00Z</dcterms:created>
  <dcterms:modified xsi:type="dcterms:W3CDTF">2020-09-01T01:00:00Z</dcterms:modified>
</cp:coreProperties>
</file>