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3F5466" w14:paraId="29E752A9" w14:textId="77777777" w:rsidTr="003F5466">
        <w:tc>
          <w:tcPr>
            <w:tcW w:w="2590" w:type="dxa"/>
          </w:tcPr>
          <w:p w14:paraId="7EBB3EFB" w14:textId="523709CB" w:rsidR="003F5466" w:rsidRDefault="003F5466">
            <w:r>
              <w:t>Definition</w:t>
            </w:r>
          </w:p>
        </w:tc>
        <w:tc>
          <w:tcPr>
            <w:tcW w:w="2590" w:type="dxa"/>
          </w:tcPr>
          <w:p w14:paraId="706C2D33" w14:textId="05ACE211" w:rsidR="003F5466" w:rsidRDefault="003F5466">
            <w:r w:rsidRPr="00676A61">
              <w:rPr>
                <w:rFonts w:ascii="Times New Roman" w:hAnsi="Times New Roman" w:cs="Times New Roman"/>
              </w:rPr>
              <w:t>problems of youth</w:t>
            </w:r>
          </w:p>
        </w:tc>
        <w:tc>
          <w:tcPr>
            <w:tcW w:w="2590" w:type="dxa"/>
          </w:tcPr>
          <w:p w14:paraId="010EEDD9" w14:textId="69473A23" w:rsidR="003F5466" w:rsidRDefault="003F5466">
            <w:r w:rsidRPr="00676A61">
              <w:rPr>
                <w:rFonts w:ascii="Times New Roman" w:hAnsi="Times New Roman" w:cs="Times New Roman"/>
              </w:rPr>
              <w:t>positive outlook</w:t>
            </w:r>
          </w:p>
        </w:tc>
        <w:tc>
          <w:tcPr>
            <w:tcW w:w="2590" w:type="dxa"/>
          </w:tcPr>
          <w:p w14:paraId="34C75C19" w14:textId="5F8CAD80" w:rsidR="003F5466" w:rsidRDefault="003F5466">
            <w:r>
              <w:rPr>
                <w:rFonts w:ascii="Times New Roman" w:hAnsi="Times New Roman" w:cs="Times New Roman"/>
              </w:rPr>
              <w:t>“</w:t>
            </w:r>
            <w:r w:rsidRPr="00676A61">
              <w:rPr>
                <w:rFonts w:ascii="Times New Roman" w:hAnsi="Times New Roman" w:cs="Times New Roman"/>
              </w:rPr>
              <w:t>professionalized” approaches</w:t>
            </w:r>
          </w:p>
        </w:tc>
        <w:tc>
          <w:tcPr>
            <w:tcW w:w="2590" w:type="dxa"/>
          </w:tcPr>
          <w:p w14:paraId="5F2502BF" w14:textId="390D096D" w:rsidR="003F5466" w:rsidRDefault="003F5466">
            <w:r w:rsidRPr="00676A61">
              <w:t>media</w:t>
            </w:r>
          </w:p>
        </w:tc>
      </w:tr>
      <w:tr w:rsidR="003F5466" w14:paraId="2368FF17" w14:textId="77777777" w:rsidTr="003F5466">
        <w:tc>
          <w:tcPr>
            <w:tcW w:w="2590" w:type="dxa"/>
          </w:tcPr>
          <w:p w14:paraId="4AC3BBDF" w14:textId="77777777" w:rsidR="003F5466" w:rsidRPr="00676A61" w:rsidRDefault="003F5466" w:rsidP="003F5466">
            <w:pPr>
              <w:rPr>
                <w:rFonts w:ascii="Times New Roman" w:hAnsi="Times New Roman" w:cs="Times New Roman"/>
              </w:rPr>
            </w:pPr>
            <w:r w:rsidRPr="00676A61">
              <w:rPr>
                <w:rFonts w:ascii="Times New Roman" w:hAnsi="Times New Roman" w:cs="Times New Roman"/>
              </w:rPr>
              <w:t>The Circle of Courage identifies four universal needs of all children: Belonging, Mastery, Independence and Generosity.  When these needs are met, children grow and thrive (</w:t>
            </w:r>
            <w:proofErr w:type="spellStart"/>
            <w:r w:rsidRPr="00676A61">
              <w:rPr>
                <w:rFonts w:ascii="Times New Roman" w:hAnsi="Times New Roman" w:cs="Times New Roman"/>
              </w:rPr>
              <w:t>Brendtro</w:t>
            </w:r>
            <w:proofErr w:type="spellEnd"/>
            <w:r w:rsidRPr="00676A61">
              <w:rPr>
                <w:rFonts w:ascii="Times New Roman" w:hAnsi="Times New Roman" w:cs="Times New Roman"/>
              </w:rPr>
              <w:t xml:space="preserve">, </w:t>
            </w:r>
            <w:proofErr w:type="spellStart"/>
            <w:r w:rsidRPr="00676A61">
              <w:rPr>
                <w:rFonts w:ascii="Times New Roman" w:hAnsi="Times New Roman" w:cs="Times New Roman"/>
              </w:rPr>
              <w:t>Brokenleg</w:t>
            </w:r>
            <w:proofErr w:type="spellEnd"/>
            <w:r w:rsidRPr="00676A61">
              <w:rPr>
                <w:rFonts w:ascii="Times New Roman" w:hAnsi="Times New Roman" w:cs="Times New Roman"/>
              </w:rPr>
              <w:t xml:space="preserve">, and Van </w:t>
            </w:r>
            <w:proofErr w:type="spellStart"/>
            <w:r w:rsidRPr="00676A61">
              <w:rPr>
                <w:rFonts w:ascii="Times New Roman" w:hAnsi="Times New Roman" w:cs="Times New Roman"/>
              </w:rPr>
              <w:t>Bockern</w:t>
            </w:r>
            <w:proofErr w:type="spellEnd"/>
            <w:r w:rsidRPr="00676A61">
              <w:rPr>
                <w:rFonts w:ascii="Times New Roman" w:hAnsi="Times New Roman" w:cs="Times New Roman"/>
              </w:rPr>
              <w:t>, 2005, abstract).</w:t>
            </w:r>
          </w:p>
          <w:p w14:paraId="2A5AE387" w14:textId="77777777" w:rsidR="003F5466" w:rsidRDefault="003F5466"/>
        </w:tc>
        <w:tc>
          <w:tcPr>
            <w:tcW w:w="2590" w:type="dxa"/>
          </w:tcPr>
          <w:p w14:paraId="36F9AC4F" w14:textId="77777777" w:rsidR="003F5466" w:rsidRPr="00676A61" w:rsidRDefault="003F5466" w:rsidP="003F5466">
            <w:pPr>
              <w:rPr>
                <w:rFonts w:ascii="Times New Roman" w:hAnsi="Times New Roman" w:cs="Times New Roman"/>
              </w:rPr>
            </w:pPr>
            <w:r w:rsidRPr="00676A61">
              <w:rPr>
                <w:rFonts w:ascii="Times New Roman" w:hAnsi="Times New Roman" w:cs="Times New Roman"/>
              </w:rPr>
              <w:t>The Circle of Courage defines problems of youth in terms of strengths and developmental needs, these principles are grounded in resilience science and positive psychology (</w:t>
            </w:r>
            <w:proofErr w:type="spellStart"/>
            <w:r w:rsidRPr="00676A61">
              <w:rPr>
                <w:rFonts w:ascii="Times New Roman" w:hAnsi="Times New Roman" w:cs="Times New Roman"/>
              </w:rPr>
              <w:t>Brendtro</w:t>
            </w:r>
            <w:proofErr w:type="spellEnd"/>
            <w:r w:rsidRPr="00676A61">
              <w:rPr>
                <w:rFonts w:ascii="Times New Roman" w:hAnsi="Times New Roman" w:cs="Times New Roman"/>
              </w:rPr>
              <w:t xml:space="preserve">, </w:t>
            </w:r>
            <w:proofErr w:type="spellStart"/>
            <w:r w:rsidRPr="00676A61">
              <w:rPr>
                <w:rFonts w:ascii="Times New Roman" w:hAnsi="Times New Roman" w:cs="Times New Roman"/>
              </w:rPr>
              <w:t>Brokenleg</w:t>
            </w:r>
            <w:proofErr w:type="spellEnd"/>
            <w:r w:rsidRPr="00676A61">
              <w:rPr>
                <w:rFonts w:ascii="Times New Roman" w:hAnsi="Times New Roman" w:cs="Times New Roman"/>
              </w:rPr>
              <w:t xml:space="preserve">, and Van </w:t>
            </w:r>
            <w:proofErr w:type="spellStart"/>
            <w:r w:rsidRPr="00676A61">
              <w:rPr>
                <w:rFonts w:ascii="Times New Roman" w:hAnsi="Times New Roman" w:cs="Times New Roman"/>
              </w:rPr>
              <w:t>Bockern</w:t>
            </w:r>
            <w:proofErr w:type="spellEnd"/>
            <w:r w:rsidRPr="00676A61">
              <w:rPr>
                <w:rFonts w:ascii="Times New Roman" w:hAnsi="Times New Roman" w:cs="Times New Roman"/>
              </w:rPr>
              <w:t>, 2005, abstract).</w:t>
            </w:r>
          </w:p>
          <w:p w14:paraId="7BD78C7A" w14:textId="77777777" w:rsidR="003F5466" w:rsidRDefault="003F5466"/>
        </w:tc>
        <w:tc>
          <w:tcPr>
            <w:tcW w:w="2590" w:type="dxa"/>
          </w:tcPr>
          <w:p w14:paraId="2212F389" w14:textId="77777777" w:rsidR="003F5466" w:rsidRPr="00676A61" w:rsidRDefault="003F5466" w:rsidP="003F5466">
            <w:pPr>
              <w:rPr>
                <w:rFonts w:ascii="Times New Roman" w:hAnsi="Times New Roman" w:cs="Times New Roman"/>
              </w:rPr>
            </w:pPr>
            <w:r w:rsidRPr="00676A61">
              <w:rPr>
                <w:rFonts w:ascii="Times New Roman" w:hAnsi="Times New Roman" w:cs="Times New Roman"/>
              </w:rPr>
              <w:t>In the early 20</w:t>
            </w:r>
            <w:r w:rsidRPr="00676A61">
              <w:rPr>
                <w:rFonts w:ascii="Times New Roman" w:hAnsi="Times New Roman" w:cs="Times New Roman"/>
                <w:vertAlign w:val="superscript"/>
              </w:rPr>
              <w:t>th</w:t>
            </w:r>
            <w:r w:rsidRPr="00676A61">
              <w:rPr>
                <w:rFonts w:ascii="Times New Roman" w:hAnsi="Times New Roman" w:cs="Times New Roman"/>
              </w:rPr>
              <w:t xml:space="preserve"> century, pioneers in youth work had a positive outlook (</w:t>
            </w:r>
            <w:proofErr w:type="spellStart"/>
            <w:r w:rsidRPr="00676A61">
              <w:rPr>
                <w:rFonts w:ascii="Times New Roman" w:hAnsi="Times New Roman" w:cs="Times New Roman"/>
              </w:rPr>
              <w:t>Brendtro</w:t>
            </w:r>
            <w:proofErr w:type="spellEnd"/>
            <w:r w:rsidRPr="00676A61">
              <w:rPr>
                <w:rFonts w:ascii="Times New Roman" w:hAnsi="Times New Roman" w:cs="Times New Roman"/>
              </w:rPr>
              <w:t xml:space="preserve">, </w:t>
            </w:r>
            <w:proofErr w:type="spellStart"/>
            <w:r w:rsidRPr="00676A61">
              <w:rPr>
                <w:rFonts w:ascii="Times New Roman" w:hAnsi="Times New Roman" w:cs="Times New Roman"/>
              </w:rPr>
              <w:t>Brokenleg</w:t>
            </w:r>
            <w:proofErr w:type="spellEnd"/>
            <w:r w:rsidRPr="00676A61">
              <w:rPr>
                <w:rFonts w:ascii="Times New Roman" w:hAnsi="Times New Roman" w:cs="Times New Roman"/>
              </w:rPr>
              <w:t xml:space="preserve">, and Van </w:t>
            </w:r>
            <w:proofErr w:type="spellStart"/>
            <w:r w:rsidRPr="00676A61">
              <w:rPr>
                <w:rFonts w:ascii="Times New Roman" w:hAnsi="Times New Roman" w:cs="Times New Roman"/>
              </w:rPr>
              <w:t>Bockern</w:t>
            </w:r>
            <w:proofErr w:type="spellEnd"/>
            <w:r w:rsidRPr="00676A61">
              <w:rPr>
                <w:rFonts w:ascii="Times New Roman" w:hAnsi="Times New Roman" w:cs="Times New Roman"/>
              </w:rPr>
              <w:t>, 2005, p. 130).</w:t>
            </w:r>
          </w:p>
          <w:p w14:paraId="17352DBE" w14:textId="77777777" w:rsidR="003F5466" w:rsidRDefault="003F5466"/>
        </w:tc>
        <w:tc>
          <w:tcPr>
            <w:tcW w:w="2590" w:type="dxa"/>
          </w:tcPr>
          <w:p w14:paraId="1937EF4A" w14:textId="77777777" w:rsidR="003F5466" w:rsidRPr="00676A61" w:rsidRDefault="003F5466" w:rsidP="003F5466">
            <w:pPr>
              <w:rPr>
                <w:rFonts w:ascii="Times New Roman" w:hAnsi="Times New Roman" w:cs="Times New Roman"/>
              </w:rPr>
            </w:pPr>
            <w:r w:rsidRPr="00676A61">
              <w:rPr>
                <w:rFonts w:ascii="Times New Roman" w:hAnsi="Times New Roman" w:cs="Times New Roman"/>
              </w:rPr>
              <w:t xml:space="preserve">By mid-century, this optimism </w:t>
            </w:r>
            <w:proofErr w:type="gramStart"/>
            <w:r w:rsidRPr="00676A61">
              <w:rPr>
                <w:rFonts w:ascii="Times New Roman" w:hAnsi="Times New Roman" w:cs="Times New Roman"/>
              </w:rPr>
              <w:t>faded</w:t>
            </w:r>
            <w:proofErr w:type="gramEnd"/>
            <w:r w:rsidRPr="00676A61">
              <w:rPr>
                <w:rFonts w:ascii="Times New Roman" w:hAnsi="Times New Roman" w:cs="Times New Roman"/>
              </w:rPr>
              <w:t xml:space="preserve"> and increasingly “professionalized” approaches focused on deficit and deviance (</w:t>
            </w:r>
            <w:proofErr w:type="spellStart"/>
            <w:r w:rsidRPr="00676A61">
              <w:rPr>
                <w:rFonts w:ascii="Times New Roman" w:hAnsi="Times New Roman" w:cs="Times New Roman"/>
              </w:rPr>
              <w:t>Brendtro</w:t>
            </w:r>
            <w:proofErr w:type="spellEnd"/>
            <w:r w:rsidRPr="00676A61">
              <w:rPr>
                <w:rFonts w:ascii="Times New Roman" w:hAnsi="Times New Roman" w:cs="Times New Roman"/>
              </w:rPr>
              <w:t xml:space="preserve">, </w:t>
            </w:r>
            <w:proofErr w:type="spellStart"/>
            <w:r w:rsidRPr="00676A61">
              <w:rPr>
                <w:rFonts w:ascii="Times New Roman" w:hAnsi="Times New Roman" w:cs="Times New Roman"/>
              </w:rPr>
              <w:t>Brokenleg</w:t>
            </w:r>
            <w:proofErr w:type="spellEnd"/>
            <w:r w:rsidRPr="00676A61">
              <w:rPr>
                <w:rFonts w:ascii="Times New Roman" w:hAnsi="Times New Roman" w:cs="Times New Roman"/>
              </w:rPr>
              <w:t xml:space="preserve">, and Van </w:t>
            </w:r>
            <w:proofErr w:type="spellStart"/>
            <w:r w:rsidRPr="00676A61">
              <w:rPr>
                <w:rFonts w:ascii="Times New Roman" w:hAnsi="Times New Roman" w:cs="Times New Roman"/>
              </w:rPr>
              <w:t>Bockern</w:t>
            </w:r>
            <w:proofErr w:type="spellEnd"/>
            <w:r w:rsidRPr="00676A61">
              <w:rPr>
                <w:rFonts w:ascii="Times New Roman" w:hAnsi="Times New Roman" w:cs="Times New Roman"/>
              </w:rPr>
              <w:t>, 2005, p. 130).</w:t>
            </w:r>
          </w:p>
          <w:p w14:paraId="6E288A98" w14:textId="77777777" w:rsidR="003F5466" w:rsidRDefault="003F5466"/>
        </w:tc>
        <w:tc>
          <w:tcPr>
            <w:tcW w:w="2590" w:type="dxa"/>
          </w:tcPr>
          <w:p w14:paraId="4CFB699F" w14:textId="77777777" w:rsidR="003F5466" w:rsidRDefault="003F5466" w:rsidP="003F5466">
            <w:pPr>
              <w:pStyle w:val="Heading3"/>
              <w:spacing w:before="0" w:beforeAutospacing="0" w:after="0" w:afterAutospacing="0"/>
              <w:rPr>
                <w:b w:val="0"/>
                <w:bCs w:val="0"/>
                <w:color w:val="222222"/>
                <w:sz w:val="24"/>
                <w:szCs w:val="24"/>
              </w:rPr>
            </w:pPr>
            <w:r w:rsidRPr="00676A61">
              <w:rPr>
                <w:b w:val="0"/>
                <w:bCs w:val="0"/>
                <w:sz w:val="24"/>
                <w:szCs w:val="24"/>
              </w:rPr>
              <w:t>The drumbeat of the media also caused the public to take a very pessimistic view of youth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2005, p. 130).  (</w:t>
            </w:r>
            <w:r w:rsidRPr="00676A61">
              <w:rPr>
                <w:b w:val="0"/>
                <w:bCs w:val="0"/>
                <w:sz w:val="24"/>
                <w:szCs w:val="24"/>
                <w:highlight w:val="yellow"/>
              </w:rPr>
              <w:t xml:space="preserve">Song- Teenagers scare the living shit out of me, </w:t>
            </w:r>
            <w:hyperlink r:id="rId6" w:history="1">
              <w:r w:rsidRPr="00676A61">
                <w:rPr>
                  <w:b w:val="0"/>
                  <w:bCs w:val="0"/>
                  <w:color w:val="660099"/>
                  <w:sz w:val="24"/>
                  <w:szCs w:val="24"/>
                  <w:highlight w:val="yellow"/>
                </w:rPr>
                <w:t>Teenagers - My Chemical Romance [w/ Lyrics] – YouTube)</w:t>
              </w:r>
            </w:hyperlink>
          </w:p>
          <w:p w14:paraId="2459C861" w14:textId="77777777" w:rsidR="003F5466" w:rsidRDefault="003F5466"/>
        </w:tc>
      </w:tr>
      <w:tr w:rsidR="003F5466" w14:paraId="3E8144A3" w14:textId="77777777" w:rsidTr="003F5466">
        <w:tc>
          <w:tcPr>
            <w:tcW w:w="2590" w:type="dxa"/>
          </w:tcPr>
          <w:p w14:paraId="4D00B9ED" w14:textId="77777777" w:rsidR="00C457D9" w:rsidRDefault="00C457D9" w:rsidP="00C457D9">
            <w:pPr>
              <w:pStyle w:val="Heading3"/>
              <w:spacing w:before="0" w:beforeAutospacing="0" w:after="0" w:afterAutospacing="0"/>
              <w:rPr>
                <w:b w:val="0"/>
                <w:bCs w:val="0"/>
                <w:sz w:val="24"/>
                <w:szCs w:val="24"/>
              </w:rPr>
            </w:pPr>
            <w:r>
              <w:rPr>
                <w:b w:val="0"/>
                <w:bCs w:val="0"/>
                <w:sz w:val="24"/>
                <w:szCs w:val="24"/>
              </w:rPr>
              <w:t>Resilience is the ability to bounce back in spite of adversity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0E0EE4A2" w14:textId="77777777" w:rsidR="003F5466" w:rsidRDefault="003F5466"/>
        </w:tc>
        <w:tc>
          <w:tcPr>
            <w:tcW w:w="2590" w:type="dxa"/>
          </w:tcPr>
          <w:p w14:paraId="3E44D7EB" w14:textId="77777777" w:rsidR="00C457D9" w:rsidRDefault="00C457D9" w:rsidP="00C457D9">
            <w:pPr>
              <w:pStyle w:val="Heading3"/>
              <w:spacing w:before="0" w:beforeAutospacing="0" w:after="0" w:afterAutospacing="0"/>
              <w:rPr>
                <w:b w:val="0"/>
                <w:bCs w:val="0"/>
                <w:sz w:val="24"/>
                <w:szCs w:val="24"/>
              </w:rPr>
            </w:pPr>
            <w:r>
              <w:rPr>
                <w:b w:val="0"/>
                <w:bCs w:val="0"/>
                <w:sz w:val="24"/>
                <w:szCs w:val="24"/>
              </w:rPr>
              <w:t>The focus is shifting from fixing flaws to building strengths (</w:t>
            </w:r>
            <w:r w:rsidRPr="00676A61">
              <w:rPr>
                <w:b w:val="0"/>
                <w:bCs w:val="0"/>
                <w:sz w:val="24"/>
                <w:szCs w:val="24"/>
                <w:highlight w:val="yellow"/>
              </w:rPr>
              <w:t>Peterson &amp; Seligman, 2004</w:t>
            </w:r>
            <w:r>
              <w:rPr>
                <w:b w:val="0"/>
                <w:bCs w:val="0"/>
                <w:sz w:val="24"/>
                <w:szCs w:val="24"/>
              </w:rPr>
              <w:t xml:space="preserve"> as cited by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31FBC7F2" w14:textId="77777777" w:rsidR="003F5466" w:rsidRDefault="003F5466"/>
          <w:p w14:paraId="6C65D512" w14:textId="4DC24C73" w:rsidR="00C457D9" w:rsidRDefault="00C457D9"/>
        </w:tc>
        <w:tc>
          <w:tcPr>
            <w:tcW w:w="2590" w:type="dxa"/>
          </w:tcPr>
          <w:p w14:paraId="20844E12" w14:textId="77777777" w:rsidR="00C457D9" w:rsidRDefault="00C457D9" w:rsidP="00C457D9">
            <w:pPr>
              <w:pStyle w:val="Heading3"/>
              <w:spacing w:before="0" w:beforeAutospacing="0" w:after="0" w:afterAutospacing="0"/>
              <w:rPr>
                <w:b w:val="0"/>
                <w:bCs w:val="0"/>
                <w:sz w:val="24"/>
                <w:szCs w:val="24"/>
              </w:rPr>
            </w:pPr>
            <w:r>
              <w:rPr>
                <w:b w:val="0"/>
                <w:bCs w:val="0"/>
                <w:color w:val="222222"/>
                <w:sz w:val="24"/>
                <w:szCs w:val="24"/>
              </w:rPr>
              <w:t xml:space="preserve">Traditional approaches are being transformed by a new </w:t>
            </w:r>
            <w:r w:rsidRPr="00676A61">
              <w:rPr>
                <w:b w:val="0"/>
                <w:bCs w:val="0"/>
                <w:i/>
                <w:iCs/>
                <w:color w:val="222222"/>
                <w:sz w:val="24"/>
                <w:szCs w:val="24"/>
              </w:rPr>
              <w:t>positive psychology</w:t>
            </w:r>
            <w:r>
              <w:rPr>
                <w:b w:val="0"/>
                <w:bCs w:val="0"/>
                <w:color w:val="222222"/>
                <w:sz w:val="24"/>
                <w:szCs w:val="24"/>
              </w:rPr>
              <w:t xml:space="preserve">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19ABF28D" w14:textId="77777777" w:rsidR="003F5466" w:rsidRDefault="003F5466"/>
        </w:tc>
        <w:tc>
          <w:tcPr>
            <w:tcW w:w="2590" w:type="dxa"/>
          </w:tcPr>
          <w:p w14:paraId="115484DE" w14:textId="77777777" w:rsidR="005353A1" w:rsidRDefault="005353A1" w:rsidP="005353A1">
            <w:pPr>
              <w:pStyle w:val="Heading3"/>
              <w:spacing w:before="0" w:beforeAutospacing="0" w:after="0" w:afterAutospacing="0"/>
              <w:rPr>
                <w:b w:val="0"/>
                <w:bCs w:val="0"/>
                <w:sz w:val="24"/>
                <w:szCs w:val="24"/>
              </w:rPr>
            </w:pPr>
            <w:r>
              <w:rPr>
                <w:b w:val="0"/>
                <w:bCs w:val="0"/>
                <w:sz w:val="24"/>
                <w:szCs w:val="24"/>
              </w:rPr>
              <w:t>Extended family kinship systems ensured that every child had many mothers, fathers and grandparents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2005, p. 13</w:t>
            </w:r>
            <w:r>
              <w:rPr>
                <w:b w:val="0"/>
                <w:bCs w:val="0"/>
                <w:sz w:val="24"/>
                <w:szCs w:val="24"/>
              </w:rPr>
              <w:t>1</w:t>
            </w:r>
            <w:r w:rsidRPr="00676A61">
              <w:rPr>
                <w:b w:val="0"/>
                <w:bCs w:val="0"/>
                <w:sz w:val="24"/>
                <w:szCs w:val="24"/>
              </w:rPr>
              <w:t xml:space="preserve">).  </w:t>
            </w:r>
          </w:p>
          <w:p w14:paraId="7279FD6E" w14:textId="77777777" w:rsidR="005353A1" w:rsidRDefault="005353A1" w:rsidP="005353A1">
            <w:pPr>
              <w:pStyle w:val="Heading3"/>
              <w:spacing w:before="0" w:beforeAutospacing="0" w:after="0" w:afterAutospacing="0"/>
              <w:rPr>
                <w:b w:val="0"/>
                <w:bCs w:val="0"/>
                <w:sz w:val="24"/>
                <w:szCs w:val="24"/>
              </w:rPr>
            </w:pPr>
          </w:p>
          <w:p w14:paraId="4CFC5B6C" w14:textId="77777777" w:rsidR="005353A1" w:rsidRDefault="005353A1" w:rsidP="005353A1">
            <w:pPr>
              <w:pStyle w:val="Heading3"/>
              <w:spacing w:before="0" w:beforeAutospacing="0" w:after="0" w:afterAutospacing="0"/>
              <w:rPr>
                <w:b w:val="0"/>
                <w:bCs w:val="0"/>
                <w:sz w:val="24"/>
                <w:szCs w:val="24"/>
              </w:rPr>
            </w:pPr>
            <w:r>
              <w:rPr>
                <w:b w:val="0"/>
                <w:bCs w:val="0"/>
                <w:sz w:val="24"/>
                <w:szCs w:val="24"/>
              </w:rPr>
              <w:t xml:space="preserve">In tribal and kinship cultures, natural social relationships insured that these growth needs would be met.  But in go-it alone modern society, the youth development infrastructure has collapsed (Benson, 1997 </w:t>
            </w:r>
            <w:r>
              <w:rPr>
                <w:b w:val="0"/>
                <w:bCs w:val="0"/>
                <w:sz w:val="24"/>
                <w:szCs w:val="24"/>
              </w:rPr>
              <w:lastRenderedPageBreak/>
              <w:t xml:space="preserve">as cited by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2005, p. 13</w:t>
            </w:r>
            <w:r>
              <w:rPr>
                <w:b w:val="0"/>
                <w:bCs w:val="0"/>
                <w:sz w:val="24"/>
                <w:szCs w:val="24"/>
              </w:rPr>
              <w:t>1</w:t>
            </w:r>
            <w:r w:rsidRPr="00676A61">
              <w:rPr>
                <w:b w:val="0"/>
                <w:bCs w:val="0"/>
                <w:sz w:val="24"/>
                <w:szCs w:val="24"/>
              </w:rPr>
              <w:t xml:space="preserve">).  </w:t>
            </w:r>
          </w:p>
          <w:p w14:paraId="7484CAFC" w14:textId="77777777" w:rsidR="003F5466" w:rsidRDefault="003F5466"/>
        </w:tc>
        <w:tc>
          <w:tcPr>
            <w:tcW w:w="2590" w:type="dxa"/>
          </w:tcPr>
          <w:p w14:paraId="256C157E" w14:textId="77777777" w:rsidR="003F5466" w:rsidRDefault="003F5466"/>
        </w:tc>
      </w:tr>
      <w:tr w:rsidR="00C457D9" w14:paraId="782B5E09" w14:textId="77777777" w:rsidTr="003F5466">
        <w:tc>
          <w:tcPr>
            <w:tcW w:w="2590" w:type="dxa"/>
          </w:tcPr>
          <w:p w14:paraId="2A681CCA" w14:textId="77777777" w:rsidR="005B606E" w:rsidRDefault="005B606E" w:rsidP="005B606E">
            <w:pPr>
              <w:pStyle w:val="Heading3"/>
              <w:spacing w:before="0" w:beforeAutospacing="0" w:after="0" w:afterAutospacing="0"/>
              <w:rPr>
                <w:b w:val="0"/>
                <w:bCs w:val="0"/>
                <w:sz w:val="24"/>
                <w:szCs w:val="24"/>
              </w:rPr>
            </w:pPr>
            <w:r>
              <w:rPr>
                <w:b w:val="0"/>
                <w:bCs w:val="0"/>
                <w:sz w:val="24"/>
                <w:szCs w:val="24"/>
              </w:rPr>
              <w:t>Many traditional tribal communities were better equipped to meet the growth needs of children than is modern Western society. In such societies, children were considered to be “sacred beings” (Lakota), “gifts of God” (Maori)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2005, p. 13</w:t>
            </w:r>
            <w:r>
              <w:rPr>
                <w:b w:val="0"/>
                <w:bCs w:val="0"/>
                <w:sz w:val="24"/>
                <w:szCs w:val="24"/>
              </w:rPr>
              <w:t>1</w:t>
            </w:r>
            <w:r w:rsidRPr="00676A61">
              <w:rPr>
                <w:b w:val="0"/>
                <w:bCs w:val="0"/>
                <w:sz w:val="24"/>
                <w:szCs w:val="24"/>
              </w:rPr>
              <w:t xml:space="preserve">).  </w:t>
            </w:r>
          </w:p>
          <w:p w14:paraId="02F56EB5" w14:textId="77777777" w:rsidR="00C457D9" w:rsidRDefault="00C457D9"/>
        </w:tc>
        <w:tc>
          <w:tcPr>
            <w:tcW w:w="2590" w:type="dxa"/>
          </w:tcPr>
          <w:p w14:paraId="32C369BE" w14:textId="77777777" w:rsidR="00C457D9" w:rsidRDefault="00C457D9" w:rsidP="00C457D9">
            <w:pPr>
              <w:pStyle w:val="Heading3"/>
              <w:spacing w:before="0" w:beforeAutospacing="0" w:after="0" w:afterAutospacing="0"/>
              <w:rPr>
                <w:b w:val="0"/>
                <w:bCs w:val="0"/>
                <w:sz w:val="24"/>
                <w:szCs w:val="24"/>
              </w:rPr>
            </w:pPr>
            <w:r>
              <w:rPr>
                <w:b w:val="0"/>
                <w:bCs w:val="0"/>
                <w:sz w:val="24"/>
                <w:szCs w:val="24"/>
              </w:rPr>
              <w:t xml:space="preserve">Strengths enable one to cope with difficult life challenges, a common definition of resilience.  Even the concept of intelligence is being reformatted to a </w:t>
            </w:r>
            <w:proofErr w:type="gramStart"/>
            <w:r>
              <w:rPr>
                <w:b w:val="0"/>
                <w:bCs w:val="0"/>
                <w:sz w:val="24"/>
                <w:szCs w:val="24"/>
              </w:rPr>
              <w:t>strengths</w:t>
            </w:r>
            <w:proofErr w:type="gramEnd"/>
            <w:r>
              <w:rPr>
                <w:b w:val="0"/>
                <w:bCs w:val="0"/>
                <w:sz w:val="24"/>
                <w:szCs w:val="24"/>
              </w:rPr>
              <w:t xml:space="preserve"> perspective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1CA4CC74" w14:textId="77777777" w:rsidR="00C457D9" w:rsidRDefault="00C457D9" w:rsidP="00C457D9">
            <w:pPr>
              <w:pStyle w:val="Heading3"/>
              <w:spacing w:before="0" w:beforeAutospacing="0" w:after="0" w:afterAutospacing="0"/>
              <w:rPr>
                <w:b w:val="0"/>
                <w:bCs w:val="0"/>
                <w:sz w:val="24"/>
                <w:szCs w:val="24"/>
              </w:rPr>
            </w:pPr>
          </w:p>
        </w:tc>
        <w:tc>
          <w:tcPr>
            <w:tcW w:w="2590" w:type="dxa"/>
          </w:tcPr>
          <w:p w14:paraId="3EF166AD" w14:textId="77777777" w:rsidR="00C457D9" w:rsidRDefault="00C457D9" w:rsidP="00C457D9">
            <w:pPr>
              <w:pStyle w:val="Heading3"/>
              <w:spacing w:before="0" w:beforeAutospacing="0" w:after="0" w:afterAutospacing="0"/>
              <w:rPr>
                <w:b w:val="0"/>
                <w:bCs w:val="0"/>
                <w:sz w:val="24"/>
                <w:szCs w:val="24"/>
              </w:rPr>
            </w:pPr>
            <w:r>
              <w:rPr>
                <w:b w:val="0"/>
                <w:bCs w:val="0"/>
                <w:sz w:val="24"/>
                <w:szCs w:val="24"/>
              </w:rPr>
              <w:t xml:space="preserve">Practical intelligence is defined as the ability to meet pro-social goals by developing one’s strengths and overcoming limitations (Sternberg, 2000 as cited by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7944488B" w14:textId="77777777" w:rsidR="00C457D9" w:rsidRDefault="00C457D9" w:rsidP="00C457D9">
            <w:pPr>
              <w:pStyle w:val="Heading3"/>
              <w:spacing w:before="0" w:beforeAutospacing="0" w:after="0" w:afterAutospacing="0"/>
              <w:rPr>
                <w:b w:val="0"/>
                <w:bCs w:val="0"/>
                <w:color w:val="222222"/>
                <w:sz w:val="24"/>
                <w:szCs w:val="24"/>
              </w:rPr>
            </w:pPr>
          </w:p>
        </w:tc>
        <w:tc>
          <w:tcPr>
            <w:tcW w:w="2590" w:type="dxa"/>
          </w:tcPr>
          <w:p w14:paraId="2D37D759" w14:textId="77777777" w:rsidR="00C457D9" w:rsidRDefault="00C457D9" w:rsidP="00C457D9">
            <w:pPr>
              <w:pStyle w:val="Heading3"/>
              <w:spacing w:before="0" w:beforeAutospacing="0" w:after="0" w:afterAutospacing="0"/>
              <w:rPr>
                <w:b w:val="0"/>
                <w:bCs w:val="0"/>
                <w:sz w:val="24"/>
                <w:szCs w:val="24"/>
              </w:rPr>
            </w:pPr>
            <w:r>
              <w:rPr>
                <w:b w:val="0"/>
                <w:bCs w:val="0"/>
                <w:sz w:val="24"/>
                <w:szCs w:val="24"/>
              </w:rPr>
              <w:t xml:space="preserve">Initially many researchers thought resilience was a personality trait of a few “invulnerable” super-kids who could leap life’s barriers in an effortless bound.  Instead, the emerging view is that resilience is programmed into our DNA.  We are all </w:t>
            </w:r>
            <w:proofErr w:type="spellStart"/>
            <w:r>
              <w:rPr>
                <w:b w:val="0"/>
                <w:bCs w:val="0"/>
                <w:sz w:val="24"/>
                <w:szCs w:val="24"/>
              </w:rPr>
              <w:t>descendents</w:t>
            </w:r>
            <w:proofErr w:type="spellEnd"/>
            <w:r>
              <w:rPr>
                <w:b w:val="0"/>
                <w:bCs w:val="0"/>
                <w:sz w:val="24"/>
                <w:szCs w:val="24"/>
              </w:rPr>
              <w:t xml:space="preserve"> of ancestors who overcame every manner of hardship and adversity (We are the Nazis, we are the slave owners, we are the Indigenous that killed the settlers, we are the people that survived the revolutions… ‘the good die young’)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4B9FFB80" w14:textId="77777777" w:rsidR="00C457D9" w:rsidRDefault="00C457D9"/>
        </w:tc>
        <w:tc>
          <w:tcPr>
            <w:tcW w:w="2590" w:type="dxa"/>
          </w:tcPr>
          <w:p w14:paraId="538032D8" w14:textId="77777777" w:rsidR="00C457D9" w:rsidRDefault="00C457D9"/>
        </w:tc>
      </w:tr>
      <w:tr w:rsidR="00C457D9" w14:paraId="036A84CE" w14:textId="77777777" w:rsidTr="003F5466">
        <w:tc>
          <w:tcPr>
            <w:tcW w:w="2590" w:type="dxa"/>
          </w:tcPr>
          <w:p w14:paraId="1126E9AD" w14:textId="77777777" w:rsidR="00C457D9" w:rsidRDefault="00C457D9"/>
        </w:tc>
        <w:tc>
          <w:tcPr>
            <w:tcW w:w="2590" w:type="dxa"/>
          </w:tcPr>
          <w:p w14:paraId="1CDF3AD6" w14:textId="77777777" w:rsidR="00C457D9" w:rsidRDefault="00C457D9" w:rsidP="00C457D9">
            <w:pPr>
              <w:pStyle w:val="Heading3"/>
              <w:spacing w:before="0" w:beforeAutospacing="0" w:after="0" w:afterAutospacing="0"/>
              <w:rPr>
                <w:b w:val="0"/>
                <w:bCs w:val="0"/>
                <w:sz w:val="24"/>
                <w:szCs w:val="24"/>
              </w:rPr>
            </w:pPr>
          </w:p>
        </w:tc>
        <w:tc>
          <w:tcPr>
            <w:tcW w:w="2590" w:type="dxa"/>
          </w:tcPr>
          <w:p w14:paraId="783255F5" w14:textId="77777777" w:rsidR="005B606E" w:rsidRDefault="005B606E" w:rsidP="005B606E">
            <w:pPr>
              <w:pStyle w:val="Heading3"/>
              <w:spacing w:before="0" w:beforeAutospacing="0" w:after="0" w:afterAutospacing="0"/>
              <w:rPr>
                <w:b w:val="0"/>
                <w:bCs w:val="0"/>
                <w:sz w:val="24"/>
                <w:szCs w:val="24"/>
              </w:rPr>
            </w:pPr>
            <w:r>
              <w:rPr>
                <w:b w:val="0"/>
                <w:bCs w:val="0"/>
                <w:sz w:val="24"/>
                <w:szCs w:val="24"/>
              </w:rPr>
              <w:t xml:space="preserve">Children from terrible backgrounds can develop strengths to </w:t>
            </w:r>
            <w:r>
              <w:rPr>
                <w:b w:val="0"/>
                <w:bCs w:val="0"/>
                <w:sz w:val="24"/>
                <w:szCs w:val="24"/>
              </w:rPr>
              <w:lastRenderedPageBreak/>
              <w:t>alter their life pathways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3AE0E4EE" w14:textId="77777777" w:rsidR="00C457D9" w:rsidRDefault="00C457D9" w:rsidP="00C457D9">
            <w:pPr>
              <w:pStyle w:val="Heading3"/>
              <w:spacing w:before="0" w:beforeAutospacing="0" w:after="0" w:afterAutospacing="0"/>
              <w:rPr>
                <w:b w:val="0"/>
                <w:bCs w:val="0"/>
                <w:sz w:val="24"/>
                <w:szCs w:val="24"/>
              </w:rPr>
            </w:pPr>
          </w:p>
        </w:tc>
        <w:tc>
          <w:tcPr>
            <w:tcW w:w="2590" w:type="dxa"/>
          </w:tcPr>
          <w:p w14:paraId="60BB5959" w14:textId="77777777" w:rsidR="00C457D9" w:rsidRDefault="00C457D9"/>
        </w:tc>
        <w:tc>
          <w:tcPr>
            <w:tcW w:w="2590" w:type="dxa"/>
          </w:tcPr>
          <w:p w14:paraId="0E5F91D6" w14:textId="77777777" w:rsidR="00C457D9" w:rsidRDefault="00C457D9"/>
        </w:tc>
      </w:tr>
      <w:tr w:rsidR="005B606E" w14:paraId="479CE89B" w14:textId="77777777" w:rsidTr="003F5466">
        <w:tc>
          <w:tcPr>
            <w:tcW w:w="2590" w:type="dxa"/>
          </w:tcPr>
          <w:p w14:paraId="3C5AE0E4" w14:textId="77777777" w:rsidR="005B606E" w:rsidRDefault="005B606E"/>
        </w:tc>
        <w:tc>
          <w:tcPr>
            <w:tcW w:w="2590" w:type="dxa"/>
          </w:tcPr>
          <w:p w14:paraId="05724E31" w14:textId="77777777" w:rsidR="005B606E" w:rsidRDefault="005B606E" w:rsidP="00C457D9">
            <w:pPr>
              <w:pStyle w:val="Heading3"/>
              <w:spacing w:before="0" w:beforeAutospacing="0" w:after="0" w:afterAutospacing="0"/>
              <w:rPr>
                <w:b w:val="0"/>
                <w:bCs w:val="0"/>
                <w:sz w:val="24"/>
                <w:szCs w:val="24"/>
              </w:rPr>
            </w:pPr>
          </w:p>
        </w:tc>
        <w:tc>
          <w:tcPr>
            <w:tcW w:w="2590" w:type="dxa"/>
          </w:tcPr>
          <w:p w14:paraId="69945374" w14:textId="77777777" w:rsidR="005B606E" w:rsidRDefault="005B606E" w:rsidP="005B606E">
            <w:pPr>
              <w:pStyle w:val="Heading3"/>
              <w:spacing w:before="0" w:beforeAutospacing="0" w:after="0" w:afterAutospacing="0"/>
              <w:rPr>
                <w:b w:val="0"/>
                <w:bCs w:val="0"/>
                <w:sz w:val="24"/>
                <w:szCs w:val="24"/>
              </w:rPr>
            </w:pPr>
            <w:r>
              <w:rPr>
                <w:b w:val="0"/>
                <w:bCs w:val="0"/>
                <w:sz w:val="24"/>
                <w:szCs w:val="24"/>
              </w:rPr>
              <w:t>Given sufficient support humans can defy the odds and become agents of history (</w:t>
            </w:r>
            <w:proofErr w:type="spellStart"/>
            <w:r w:rsidRPr="00222DE9">
              <w:rPr>
                <w:b w:val="0"/>
                <w:bCs w:val="0"/>
                <w:sz w:val="24"/>
                <w:szCs w:val="24"/>
                <w:highlight w:val="yellow"/>
              </w:rPr>
              <w:t>Ramphele</w:t>
            </w:r>
            <w:proofErr w:type="spellEnd"/>
            <w:r w:rsidRPr="00222DE9">
              <w:rPr>
                <w:b w:val="0"/>
                <w:bCs w:val="0"/>
                <w:sz w:val="24"/>
                <w:szCs w:val="24"/>
                <w:highlight w:val="yellow"/>
              </w:rPr>
              <w:t>, 2002, p. 123</w:t>
            </w:r>
            <w:r>
              <w:rPr>
                <w:b w:val="0"/>
                <w:bCs w:val="0"/>
                <w:sz w:val="24"/>
                <w:szCs w:val="24"/>
              </w:rPr>
              <w:t xml:space="preserve"> as cited by </w:t>
            </w:r>
            <w:proofErr w:type="spellStart"/>
            <w:r w:rsidRPr="00676A61">
              <w:rPr>
                <w:b w:val="0"/>
                <w:bCs w:val="0"/>
                <w:sz w:val="24"/>
                <w:szCs w:val="24"/>
              </w:rPr>
              <w:t>Brendtro</w:t>
            </w:r>
            <w:proofErr w:type="spellEnd"/>
            <w:r w:rsidRPr="00676A61">
              <w:rPr>
                <w:b w:val="0"/>
                <w:bCs w:val="0"/>
                <w:sz w:val="24"/>
                <w:szCs w:val="24"/>
              </w:rPr>
              <w:t xml:space="preserve">, </w:t>
            </w:r>
            <w:proofErr w:type="spellStart"/>
            <w:r w:rsidRPr="00676A61">
              <w:rPr>
                <w:b w:val="0"/>
                <w:bCs w:val="0"/>
                <w:sz w:val="24"/>
                <w:szCs w:val="24"/>
              </w:rPr>
              <w:t>Brokenleg</w:t>
            </w:r>
            <w:proofErr w:type="spellEnd"/>
            <w:r w:rsidRPr="00676A61">
              <w:rPr>
                <w:b w:val="0"/>
                <w:bCs w:val="0"/>
                <w:sz w:val="24"/>
                <w:szCs w:val="24"/>
              </w:rPr>
              <w:t xml:space="preserve">, and Van </w:t>
            </w:r>
            <w:proofErr w:type="spellStart"/>
            <w:r w:rsidRPr="00676A61">
              <w:rPr>
                <w:b w:val="0"/>
                <w:bCs w:val="0"/>
                <w:sz w:val="24"/>
                <w:szCs w:val="24"/>
              </w:rPr>
              <w:t>Bockern</w:t>
            </w:r>
            <w:proofErr w:type="spellEnd"/>
            <w:r w:rsidRPr="00676A61">
              <w:rPr>
                <w:b w:val="0"/>
                <w:bCs w:val="0"/>
                <w:sz w:val="24"/>
                <w:szCs w:val="24"/>
              </w:rPr>
              <w:t xml:space="preserve">, 2005, p. 130).  </w:t>
            </w:r>
          </w:p>
          <w:p w14:paraId="0D2E6C98" w14:textId="77777777" w:rsidR="005B606E" w:rsidRDefault="005B606E" w:rsidP="005B606E">
            <w:pPr>
              <w:pStyle w:val="Heading3"/>
              <w:spacing w:before="0" w:beforeAutospacing="0" w:after="0" w:afterAutospacing="0"/>
              <w:rPr>
                <w:b w:val="0"/>
                <w:bCs w:val="0"/>
                <w:sz w:val="24"/>
                <w:szCs w:val="24"/>
              </w:rPr>
            </w:pPr>
          </w:p>
        </w:tc>
        <w:tc>
          <w:tcPr>
            <w:tcW w:w="2590" w:type="dxa"/>
          </w:tcPr>
          <w:p w14:paraId="4908BEF0" w14:textId="77777777" w:rsidR="005B606E" w:rsidRDefault="005B606E"/>
        </w:tc>
        <w:tc>
          <w:tcPr>
            <w:tcW w:w="2590" w:type="dxa"/>
          </w:tcPr>
          <w:p w14:paraId="6F91CE1C" w14:textId="77777777" w:rsidR="005B606E" w:rsidRDefault="005B606E"/>
        </w:tc>
      </w:tr>
    </w:tbl>
    <w:p w14:paraId="54E887B6" w14:textId="77777777" w:rsidR="00312E8B" w:rsidRDefault="0047023F"/>
    <w:sectPr w:rsidR="00312E8B" w:rsidSect="00066E2C">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42A4A1" w14:textId="77777777" w:rsidR="0047023F" w:rsidRDefault="0047023F" w:rsidP="00066E2C">
      <w:r>
        <w:separator/>
      </w:r>
    </w:p>
  </w:endnote>
  <w:endnote w:type="continuationSeparator" w:id="0">
    <w:p w14:paraId="7A6F99A8" w14:textId="77777777" w:rsidR="0047023F" w:rsidRDefault="0047023F" w:rsidP="00066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DFFD15" w14:textId="77777777" w:rsidR="0047023F" w:rsidRDefault="0047023F" w:rsidP="00066E2C">
      <w:r>
        <w:separator/>
      </w:r>
    </w:p>
  </w:footnote>
  <w:footnote w:type="continuationSeparator" w:id="0">
    <w:p w14:paraId="7218421B" w14:textId="77777777" w:rsidR="0047023F" w:rsidRDefault="0047023F" w:rsidP="00066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C796C" w14:textId="57D51456" w:rsidR="00066E2C" w:rsidRDefault="00066E2C">
    <w:pPr>
      <w:pStyle w:val="Header"/>
    </w:pPr>
    <w:r w:rsidRPr="00066E2C">
      <w:t>Universal Needs of Children</w:t>
    </w:r>
    <w:r>
      <w: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E2C"/>
    <w:rsid w:val="00066E2C"/>
    <w:rsid w:val="001F223D"/>
    <w:rsid w:val="003F5466"/>
    <w:rsid w:val="0047023F"/>
    <w:rsid w:val="004761FC"/>
    <w:rsid w:val="005353A1"/>
    <w:rsid w:val="005B606E"/>
    <w:rsid w:val="0087393C"/>
    <w:rsid w:val="00B7049D"/>
    <w:rsid w:val="00BA3BDD"/>
    <w:rsid w:val="00C457D9"/>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B2C9A3"/>
  <w14:defaultImageDpi w14:val="32767"/>
  <w15:chartTrackingRefBased/>
  <w15:docId w15:val="{E2EE5534-70F7-7442-944B-A2DFD1E37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paragraph" w:styleId="Heading3">
    <w:name w:val="heading 3"/>
    <w:basedOn w:val="Normal"/>
    <w:link w:val="Heading3Char"/>
    <w:uiPriority w:val="9"/>
    <w:qFormat/>
    <w:rsid w:val="003F5466"/>
    <w:pPr>
      <w:spacing w:before="100" w:beforeAutospacing="1" w:after="100" w:afterAutospacing="1"/>
      <w:outlineLvl w:val="2"/>
    </w:pPr>
    <w:rPr>
      <w:rFonts w:ascii="Times New Roman" w:eastAsia="Times New Roman" w:hAnsi="Times New Roman" w:cs="Times New Roman"/>
      <w:b/>
      <w:bCs/>
      <w:sz w:val="27"/>
      <w:szCs w:val="27"/>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6E2C"/>
    <w:pPr>
      <w:tabs>
        <w:tab w:val="center" w:pos="4680"/>
        <w:tab w:val="right" w:pos="9360"/>
      </w:tabs>
    </w:pPr>
  </w:style>
  <w:style w:type="character" w:customStyle="1" w:styleId="HeaderChar">
    <w:name w:val="Header Char"/>
    <w:basedOn w:val="DefaultParagraphFont"/>
    <w:link w:val="Header"/>
    <w:uiPriority w:val="99"/>
    <w:rsid w:val="00066E2C"/>
    <w:rPr>
      <w:rFonts w:eastAsiaTheme="minorEastAsia"/>
    </w:rPr>
  </w:style>
  <w:style w:type="paragraph" w:styleId="Footer">
    <w:name w:val="footer"/>
    <w:basedOn w:val="Normal"/>
    <w:link w:val="FooterChar"/>
    <w:uiPriority w:val="99"/>
    <w:unhideWhenUsed/>
    <w:rsid w:val="00066E2C"/>
    <w:pPr>
      <w:tabs>
        <w:tab w:val="center" w:pos="4680"/>
        <w:tab w:val="right" w:pos="9360"/>
      </w:tabs>
    </w:pPr>
  </w:style>
  <w:style w:type="character" w:customStyle="1" w:styleId="FooterChar">
    <w:name w:val="Footer Char"/>
    <w:basedOn w:val="DefaultParagraphFont"/>
    <w:link w:val="Footer"/>
    <w:uiPriority w:val="99"/>
    <w:rsid w:val="00066E2C"/>
    <w:rPr>
      <w:rFonts w:eastAsiaTheme="minorEastAsia"/>
    </w:rPr>
  </w:style>
  <w:style w:type="table" w:styleId="TableGrid">
    <w:name w:val="Table Grid"/>
    <w:basedOn w:val="TableNormal"/>
    <w:uiPriority w:val="39"/>
    <w:rsid w:val="003F5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3F5466"/>
    <w:rPr>
      <w:rFonts w:ascii="Times New Roman" w:eastAsia="Times New Roman" w:hAnsi="Times New Roman" w:cs="Times New Roman"/>
      <w:b/>
      <w:bCs/>
      <w:sz w:val="27"/>
      <w:szCs w:val="27"/>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pBqhUarhaA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537</Words>
  <Characters>3061</Characters>
  <Application>Microsoft Office Word</Application>
  <DocSecurity>0</DocSecurity>
  <Lines>25</Lines>
  <Paragraphs>7</Paragraphs>
  <ScaleCrop>false</ScaleCrop>
  <Company/>
  <LinksUpToDate>false</LinksUpToDate>
  <CharactersWithSpaces>3591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2020-09-03T01:49:00Z</dcterms:created>
  <dcterms:modified xsi:type="dcterms:W3CDTF">2020-09-03T01:55:00Z</dcterms:modified>
</cp:coreProperties>
</file>