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7. The Personal Feelings Questionnaire (PFQ-2). Two Factor Analysis of the PFQ2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3969"/>
        <w:gridCol w:w="1221"/>
        <w:gridCol w:w="1872"/>
        <w:gridCol w:w="1872"/>
        <w:tblGridChange w:id="0">
          <w:tblGrid>
            <w:gridCol w:w="426"/>
            <w:gridCol w:w="3969"/>
            <w:gridCol w:w="122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The Personal Feelings Questionnaire (PFQ-2)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Original Affect Scale for 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 Guilt (29.0% Variance)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 Shame</w:t>
            </w:r>
          </w:p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(11.4% of Variance)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Embarrassed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</w:t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–</w:t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.49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Mild guilt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.61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–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Feeling ridiculous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–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.62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Worry about hurting or injuring someone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.69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–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Self-consciousness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.59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–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Feeling humiliated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.50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–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Intense guilt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.75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–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Feeling “stupid”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.68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Regret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.54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–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Feeling “childish”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–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.72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Feeling helpless, paralyzed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–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.55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Feelings of blushing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–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.41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Feeling you deserve criticism for what you did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.54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–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Feeling laughable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–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.76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Feeling disgusting to others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–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.58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Remorse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.47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–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Harder, D. H., &amp; Zalma, A. (1990). Two Promising Shame and Guilt Scales: A Construct Validity Comparison. Journal of Personality Assessment, 55(3–4), 729–745. </w:t>
      </w:r>
      <w:hyperlink r:id="rId7">
        <w:r w:rsidDel="00000000" w:rsidR="00000000" w:rsidRPr="00000000">
          <w:rPr>
            <w:rFonts w:ascii="Calibri" w:cs="Calibri" w:eastAsia="Calibri" w:hAnsi="Calibri"/>
            <w:color w:val="0563c1"/>
            <w:sz w:val="20"/>
            <w:szCs w:val="20"/>
            <w:u w:val="single"/>
            <w:rtl w:val="0"/>
          </w:rPr>
          <w:t xml:space="preserve">https://doi.org/10.1080/00223891.1990.9674108</w:t>
        </w:r>
      </w:hyperlink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character" w:styleId="Hyperlink">
    <w:name w:val="Hyperlink"/>
    <w:basedOn w:val="DefaultParagraphFont"/>
    <w:uiPriority w:val="99"/>
    <w:unhideWhenUsed w:val="1"/>
    <w:rsid w:val="00E110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E11010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i.org/10.1080/00223891.1990.967410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3EZPUppu878LFx8CP7jHxn7iOw==">CgMxLjA4AHIhMUFlcDhCRHJjczFoeWU4MUdhdGlWZmNBWl9GUE1HN2Jf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