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28a Design Principles for Voice Perception (Dennler et al., 2025)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Design Principles for Voice Perception (Dennler et al., 2025)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DP1: Pitch Modulates Gender Perception The per-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ceived gender of the voice should change as the fundamental frequency of the voice changes. While several studies have linked voice pitch and perceived gender [106, 107], there are other factors that contribute to the assignment of gender in voices [108]. To evaluate the interaction of physical appearance and gender, the voice</w:t>
            </w:r>
          </w:p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should be able to alter its perceived gender.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[106]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Pernet CR, Belin P (2012) The role of pitch and timbre in voice</w:t>
            </w:r>
          </w:p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gender categorization. Front Psychol 3:23</w:t>
            </w:r>
          </w:p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107]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Puts DA, Gaulin SJ, Verdolini K (2006) Dominance and the evolu-</w:t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tion of sexual dimorphism in human voice pitch. Evol Hum Behav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[108] 27(4):283–296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Cartei V, Reby D (2013) Effect of formant frequency spacing on</w:t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perceived gender in pre-pubertal children’s voices. PLoS ONE</w:t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8(12):e81022</w:t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DP2: Clarity and Realism are Consistent The voice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should be similarly understandable and realistic for all perceived genders and pitch modulations. Clarity and Realism have been linked to user acceptance in digital assistants [109], and should be held constant across different perceived genders.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[109]Cambre J, Colnago J, Maddock J, Tsai J, Kaye J (2020) “Choice of</w:t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voices: A large-scale evaluation of text-to-speech voice quality for</w:t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long-form content,” in Proceedings of the 2020 CHI Conference</w:t>
            </w:r>
          </w:p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on Human Factors in Computing Systems, pp. 1–13</w:t>
            </w:r>
          </w:p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DP3: Identity Follows Function The voice should be</w:t>
            </w:r>
          </w:p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perceived as professional across different pitches, as we intend to use this voice in professional contexts in the integrative video study. While perceived gender is one salient feature of a voice, other important aspects of identity are also expressed through voice, such as age,</w:t>
            </w:r>
          </w:p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personality, and geographic region [91].</w:t>
            </w:r>
          </w:p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[91].Cambre J, Kulkarni C (2019) “One voice fits all? social impli-</w:t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cations and research challenges of designing voices for smart devices,” Proceedings of the ACM on human-computer interac-</w:t>
            </w:r>
          </w:p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tion, vol. 3, no. CSCW, pp. 1–19</w:t>
            </w:r>
          </w:p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Dennler, N., Kian, M., Nikolaidis, S., &amp; Matarić, M. (2025). Designing robot identity: The role of voice, clothing, and task on robot gender perception.</w: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7RSzlbMJogUEmVibvABW/zxApg==">CgMxLjA4AHIhMXZKUmxBbktULU5rREJxbXZiNHNobm5oeWd4RF9HenNY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