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Table 27 Why Loudness Matters (Anikin et al., 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675"/>
        <w:gridCol w:w="4560"/>
        <w:gridCol w:w="375"/>
        <w:gridCol w:w="1875"/>
        <w:gridCol w:w="1875"/>
        <w:tblGridChange w:id="0">
          <w:tblGrid>
            <w:gridCol w:w="675"/>
            <w:gridCol w:w="4560"/>
            <w:gridCol w:w="375"/>
            <w:gridCol w:w="1875"/>
            <w:gridCol w:w="1875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Why Loudness Matters (Anikin et al., 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Loud Is Large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Loud Is Fit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Loud Is Aversive and Alarming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Loud Is Harsh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Loud Is Prepared for Physical Conflict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The Loudness–Frequency Trade-Off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Anikin, A., Valente, D., Pisanski, K., Cornec, C., Bryant, G. A., &amp; Reby, D. (2024). The role of loudness in vocal intimidation.</w:t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cpzva7SfmH8vHDPVAF/U9XScYQ==">CgMxLjA4AHIhMXdOZ1VOREMzaDYyWm1ROTN5cTFDODB4eUY2T3B5MXdk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