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Calibri" w:cs="Calibri" w:eastAsia="Calibri" w:hAnsi="Calibri"/>
          <w:i w:val="1"/>
          <w:iCs w:val="1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i w:val="1"/>
          <w:iCs w:val="1"/>
          <w:sz w:val="20"/>
          <w:szCs w:val="20"/>
          <w:rtl w:val="0"/>
        </w:rPr>
        <w:t xml:space="preserve">Table 22 Conflict De-escalation Scale (CDS)</w:t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426"/>
        <w:gridCol w:w="4819"/>
        <w:gridCol w:w="371"/>
        <w:gridCol w:w="1872"/>
        <w:gridCol w:w="1872"/>
        <w:tblGridChange w:id="0">
          <w:tblGrid>
            <w:gridCol w:w="426"/>
            <w:gridCol w:w="4819"/>
            <w:gridCol w:w="371"/>
            <w:gridCol w:w="1872"/>
            <w:gridCol w:w="1872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Conflict De-escalation Scale (CDS)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1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Factor 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1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8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rPr>
                <w:rFonts w:ascii="Calibri" w:cs="Calibri" w:eastAsia="Calibri" w:hAnsi="Calibri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D">
            <w:pPr>
              <w:widowControl w:val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E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0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2/hDMsuzFfENA3+Zk6pYuB/HrxA==">CgMxLjA4AHIhMVNyODM3ODhrS3JiUks1VUV1ZUFpLWZzM1VwQUh2VzZR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