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15c </w:t>
      </w:r>
      <w:r w:rsidDel="00000000" w:rsidR="00000000" w:rsidRPr="00000000">
        <w:rPr>
          <w:rFonts w:ascii="Arial" w:cs="Arial" w:eastAsia="Arial" w:hAnsi="Arial"/>
          <w:i w:val="1"/>
          <w:iCs w:val="1"/>
          <w:color w:val="333333"/>
          <w:sz w:val="20"/>
          <w:szCs w:val="20"/>
          <w:shd w:fill="fafafa" w:val="clear"/>
          <w:rtl w:val="0"/>
        </w:rPr>
        <w:t xml:space="preserve">Human Development Paradigm (Nussbaum)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600"/>
        <w:gridCol w:w="4635"/>
        <w:gridCol w:w="375"/>
        <w:gridCol w:w="1875"/>
        <w:gridCol w:w="1875"/>
        <w:tblGridChange w:id="0">
          <w:tblGrid>
            <w:gridCol w:w="600"/>
            <w:gridCol w:w="4635"/>
            <w:gridCol w:w="375"/>
            <w:gridCol w:w="1875"/>
            <w:gridCol w:w="187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shd w:fill="fafafa" w:val="clear"/>
                <w:rtl w:val="0"/>
              </w:rPr>
              <w:t xml:space="preserve">Human Development Paradigm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Life – Ability to live to the end of a life of normal human length without it being cut short.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Bodily health – Ability to live in good health, with access to adequate nutrition and shelter.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Bodily integrity – Ability to move freely, be free from assault, and have sexual satisfaction and reproductive choice.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Senses, imagination, and thought – Ability to use senses to imagine, think, and reason, informed by an adequate edu- cation, to produce and experience works, events, political and artistic speech, and religious exercise, of one’s own choice; and the ability to have pleasurable experiences and avoid pain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Emotions – Ability to experience and explore positive and justifed negative emotions and feelings towards others.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Practical reason – Ability to develop and engage in refec- tion as to what is “good”, and use the resulting personal axiologies to engage in goal-driven self-refection.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Affiliation – Ability both to (a) live, engage socially, and empathize with others; and (b) be treated with dignity and respect, and avoid discrimination.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Other Species – Ability to live with and experience concern for other species (e.g. plants and animals) and the natural world in general.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Play – Ability to laugh and play.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Control over one’s political and material environment – Ability to participate effectively in political processes affecting one’s life, hold property, seek employment and work in a human-like, goal-driven, and social way.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spacing w:after="180" w:before="18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Zhu, Y., Wen, R., &amp; Williams, T. (2024). Robots for Social Justice (R4SJ): Toward a More Equitable Practice of Human-Robot Interaction. 2024 19th ACM/IEEE International Conference on Human-Robot Interaction (HRI), 850–859.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highlight w:val="white"/>
            <w:u w:val="single"/>
            <w:rtl w:val="0"/>
          </w:rPr>
          <w:t xml:space="preserve">https://doi.org/10.1145/3610977.3634944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180" w:before="180" w:line="276" w:lineRule="auto"/>
        <w:rPr>
          <w:rFonts w:ascii="Arial" w:cs="Arial" w:eastAsia="Arial" w:hAnsi="Arial"/>
          <w:color w:val="333333"/>
          <w:sz w:val="20"/>
          <w:szCs w:val="20"/>
          <w:shd w:fill="fafafa" w:val="clear"/>
        </w:rPr>
      </w:pPr>
      <w:r w:rsidDel="00000000" w:rsidR="00000000" w:rsidRPr="00000000">
        <w:rPr>
          <w:rFonts w:ascii="Arial" w:cs="Arial" w:eastAsia="Arial" w:hAnsi="Arial"/>
          <w:color w:val="333333"/>
          <w:sz w:val="20"/>
          <w:szCs w:val="20"/>
          <w:shd w:fill="fafafa" w:val="clear"/>
          <w:rtl w:val="0"/>
        </w:rPr>
        <w:t xml:space="preserve">Grounded in the Engineering for Social Justice (E4SJ) framework for Engineering Education </w:t>
      </w:r>
    </w:p>
    <w:p w:rsidR="00000000" w:rsidDel="00000000" w:rsidP="00000000" w:rsidRDefault="00000000" w:rsidRPr="00000000" w14:paraId="00000072">
      <w:pPr>
        <w:spacing w:after="180" w:before="180" w:line="276" w:lineRule="auto"/>
        <w:rPr>
          <w:rFonts w:ascii="Arial" w:cs="Arial" w:eastAsia="Arial" w:hAnsi="Arial"/>
          <w:color w:val="333333"/>
          <w:sz w:val="20"/>
          <w:szCs w:val="20"/>
          <w:shd w:fill="fafafa" w:val="clear"/>
        </w:rPr>
      </w:pPr>
      <w:r w:rsidDel="00000000" w:rsidR="00000000" w:rsidRPr="00000000">
        <w:rPr>
          <w:rFonts w:ascii="Arial" w:cs="Arial" w:eastAsia="Arial" w:hAnsi="Arial"/>
          <w:color w:val="333333"/>
          <w:sz w:val="20"/>
          <w:szCs w:val="20"/>
          <w:shd w:fill="fafafa" w:val="clear"/>
          <w:rtl w:val="0"/>
        </w:rPr>
        <w:t xml:space="preserve">Nussbaum introduced a human development paradigm, which applies the capabilities approach, and generated a list of central human capabilities from the following ten aspects</w:t>
      </w:r>
    </w:p>
    <w:p w:rsidR="00000000" w:rsidDel="00000000" w:rsidP="00000000" w:rsidRDefault="00000000" w:rsidRPr="00000000" w14:paraId="00000073">
      <w:pPr>
        <w:spacing w:after="180" w:before="180" w:line="276" w:lineRule="auto"/>
        <w:rPr>
          <w:rFonts w:ascii="Arial" w:cs="Arial" w:eastAsia="Arial" w:hAnsi="Arial"/>
          <w:color w:val="333333"/>
          <w:sz w:val="20"/>
          <w:szCs w:val="20"/>
          <w:shd w:fill="fafafa" w:val="clear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Nussbaum, M. C. (2009). Creating capabilities: The human development approach and its implementation. </w:t>
      </w:r>
      <w:r w:rsidDel="00000000" w:rsidR="00000000" w:rsidRPr="00000000">
        <w:rPr>
          <w:rFonts w:ascii="Arial" w:cs="Arial" w:eastAsia="Arial" w:hAnsi="Arial"/>
          <w:i w:val="1"/>
          <w:iCs w:val="1"/>
          <w:color w:val="222222"/>
          <w:sz w:val="20"/>
          <w:szCs w:val="20"/>
          <w:highlight w:val="white"/>
          <w:rtl w:val="0"/>
        </w:rPr>
        <w:t xml:space="preserve">Hypatia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i w:val="1"/>
          <w:iCs w:val="1"/>
          <w:color w:val="222222"/>
          <w:sz w:val="20"/>
          <w:szCs w:val="20"/>
          <w:highlight w:val="white"/>
          <w:rtl w:val="0"/>
        </w:rPr>
        <w:t xml:space="preserve">24</w:t>
      </w: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(3), 211-215.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highlight w:val="white"/>
            <w:u w:val="single"/>
            <w:rtl w:val="0"/>
          </w:rPr>
          <w:t xml:space="preserve">https://apps.ufs.ac.za/media/dl/userfiles/documents/news/2012_12/2012_12_10_martha_nussbaum_ufs_december_2012.pdf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180" w:before="180" w:line="276" w:lineRule="auto"/>
        <w:rPr>
          <w:rFonts w:ascii="Arial" w:cs="Arial" w:eastAsia="Arial" w:hAnsi="Arial"/>
          <w:color w:val="333333"/>
          <w:sz w:val="20"/>
          <w:szCs w:val="20"/>
          <w:shd w:fill="fafafa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180" w:before="180" w:line="276" w:lineRule="auto"/>
        <w:rPr>
          <w:rFonts w:ascii="Arial" w:cs="Arial" w:eastAsia="Arial" w:hAnsi="Arial"/>
          <w:color w:val="333333"/>
          <w:sz w:val="20"/>
          <w:szCs w:val="20"/>
          <w:shd w:fill="fafafa" w:val="clear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145/3610977.3634944" TargetMode="External"/><Relationship Id="rId8" Type="http://schemas.openxmlformats.org/officeDocument/2006/relationships/hyperlink" Target="https://apps.ufs.ac.za/media/dl/userfiles/documents/news/2012_12/2012_12_10_martha_nussbaum_ufs_december_201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1of+tnOpzu436gNcJmAeMci4ng==">CgMxLjA4AHIhMWNjZVNxNnZwazFDRVlBQXZfT3NjWFltV3V2Q0xoX245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