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Calibri" w:cs="Calibri" w:eastAsia="Calibri" w:hAnsi="Calibri"/>
          <w:sz w:val="20"/>
          <w:szCs w:val="20"/>
        </w:rPr>
      </w:pPr>
      <w:r w:rsidDel="00000000" w:rsidR="00000000" w:rsidRPr="00000000">
        <w:rPr>
          <w:rFonts w:ascii="Calibri" w:cs="Calibri" w:eastAsia="Calibri" w:hAnsi="Calibri"/>
          <w:i w:val="1"/>
          <w:iCs w:val="1"/>
          <w:sz w:val="20"/>
          <w:szCs w:val="20"/>
          <w:rtl w:val="0"/>
        </w:rPr>
        <w:t xml:space="preserve">Table 15b </w:t>
      </w:r>
      <w:r w:rsidDel="00000000" w:rsidR="00000000" w:rsidRPr="00000000">
        <w:rPr>
          <w:rFonts w:ascii="Calibri" w:cs="Calibri" w:eastAsia="Calibri" w:hAnsi="Calibri"/>
          <w:i w:val="1"/>
          <w:iCs w:val="1"/>
          <w:color w:val="333333"/>
          <w:sz w:val="20"/>
          <w:szCs w:val="20"/>
          <w:shd w:fill="fafafa" w:val="clear"/>
          <w:rtl w:val="0"/>
        </w:rPr>
        <w:t xml:space="preserve">Engineering for Social Justice (E4SJ) framework for Engineering Education</w:t>
      </w:r>
      <w:r w:rsidDel="00000000" w:rsidR="00000000" w:rsidRPr="00000000">
        <w:rPr>
          <w:rFonts w:ascii="Calibri" w:cs="Calibri" w:eastAsia="Calibri" w:hAnsi="Calibri"/>
          <w:color w:val="333333"/>
          <w:sz w:val="20"/>
          <w:szCs w:val="20"/>
          <w:shd w:fill="fafafa" w:val="clear"/>
          <w:rtl w:val="0"/>
        </w:rPr>
        <w:t xml:space="preserve"> </w:t>
      </w:r>
      <w:r w:rsidDel="00000000" w:rsidR="00000000" w:rsidRPr="00000000">
        <w:rPr>
          <w:rtl w:val="0"/>
        </w:rPr>
      </w:r>
    </w:p>
    <w:p w:rsidR="00000000" w:rsidDel="00000000" w:rsidP="00000000" w:rsidRDefault="00000000" w:rsidRPr="00000000" w14:paraId="00000002">
      <w:pPr>
        <w:spacing w:line="480" w:lineRule="auto"/>
        <w:rPr>
          <w:rFonts w:ascii="Calibri" w:cs="Calibri" w:eastAsia="Calibri" w:hAnsi="Calibri"/>
          <w:i w:val="1"/>
          <w:iCs w:val="1"/>
          <w:sz w:val="20"/>
          <w:szCs w:val="20"/>
        </w:rPr>
      </w:pPr>
      <w:r w:rsidDel="00000000" w:rsidR="00000000" w:rsidRPr="00000000">
        <w:rPr>
          <w:rtl w:val="0"/>
        </w:rPr>
      </w:r>
    </w:p>
    <w:tbl>
      <w:tblPr>
        <w:tblStyle w:val="Table1"/>
        <w:tblW w:w="9360.0" w:type="dxa"/>
        <w:jc w:val="left"/>
        <w:tblLayout w:type="fixed"/>
        <w:tblLook w:val="0600"/>
      </w:tblPr>
      <w:tblGrid>
        <w:gridCol w:w="426"/>
        <w:gridCol w:w="4819"/>
        <w:gridCol w:w="371"/>
        <w:gridCol w:w="1872"/>
        <w:gridCol w:w="1872"/>
        <w:tblGridChange w:id="0">
          <w:tblGrid>
            <w:gridCol w:w="426"/>
            <w:gridCol w:w="4819"/>
            <w:gridCol w:w="371"/>
            <w:gridCol w:w="1872"/>
            <w:gridCol w:w="1872"/>
          </w:tblGrid>
        </w:tblGridChange>
      </w:tblGrid>
      <w:tr>
        <w:trPr>
          <w:cantSplit w:val="0"/>
          <w:trHeight w:val="485" w:hRule="atLeast"/>
          <w:tblHeader w:val="1"/>
        </w:trPr>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03">
            <w:pPr>
              <w:widowControl w:val="0"/>
              <w:rPr>
                <w:rFonts w:ascii="Calibri" w:cs="Calibri" w:eastAsia="Calibri" w:hAnsi="Calibri"/>
                <w:sz w:val="20"/>
                <w:szCs w:val="20"/>
              </w:rPr>
            </w:pPr>
            <w:r w:rsidDel="00000000" w:rsidR="00000000" w:rsidRPr="00000000">
              <w:rPr>
                <w:rtl w:val="0"/>
              </w:rPr>
            </w:r>
          </w:p>
        </w:tc>
        <w:tc>
          <w:tcPr>
            <w:gridSpan w:val="4"/>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4">
            <w:pPr>
              <w:widowControl w:val="0"/>
              <w:jc w:val="center"/>
              <w:rPr>
                <w:rFonts w:ascii="Calibri" w:cs="Calibri" w:eastAsia="Calibri" w:hAnsi="Calibri"/>
                <w:sz w:val="20"/>
                <w:szCs w:val="20"/>
              </w:rPr>
            </w:pPr>
            <w:r w:rsidDel="00000000" w:rsidR="00000000" w:rsidRPr="00000000">
              <w:rPr>
                <w:rFonts w:ascii="Calibri" w:cs="Calibri" w:eastAsia="Calibri" w:hAnsi="Calibri"/>
                <w:color w:val="333333"/>
                <w:sz w:val="20"/>
                <w:szCs w:val="20"/>
                <w:shd w:fill="fafafa" w:val="clear"/>
                <w:rtl w:val="0"/>
              </w:rPr>
              <w:t xml:space="preserve">Engineering for Social Justice (E4SJ) framework for Engineering Education</w:t>
            </w:r>
            <w:r w:rsidDel="00000000" w:rsidR="00000000" w:rsidRPr="00000000">
              <w:rPr>
                <w:rtl w:val="0"/>
              </w:rPr>
            </w:r>
          </w:p>
        </w:tc>
      </w:tr>
      <w:tr>
        <w:trPr>
          <w:cantSplit w:val="0"/>
          <w:trHeight w:val="465" w:hRule="atLeast"/>
          <w:tblHeader w:val="1"/>
        </w:trPr>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08">
            <w:pPr>
              <w:widowControl w:val="0"/>
              <w:rPr>
                <w:rFonts w:ascii="Calibri" w:cs="Calibri" w:eastAsia="Calibri" w:hAnsi="Calibri"/>
                <w:sz w:val="20"/>
                <w:szCs w:val="20"/>
              </w:rPr>
            </w:pPr>
            <w:r w:rsidDel="00000000" w:rsidR="00000000" w:rsidRPr="00000000">
              <w:rPr>
                <w:rtl w:val="0"/>
              </w:rPr>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9">
            <w:pPr>
              <w:widowControl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Item</w:t>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A">
            <w:pPr>
              <w:widowControl w:val="0"/>
              <w:rPr>
                <w:rFonts w:ascii="Calibri" w:cs="Calibri" w:eastAsia="Calibri" w:hAnsi="Calibri"/>
                <w:sz w:val="20"/>
                <w:szCs w:val="20"/>
              </w:rPr>
            </w:pPr>
            <w:r w:rsidDel="00000000" w:rsidR="00000000" w:rsidRPr="00000000">
              <w:rPr>
                <w:rtl w:val="0"/>
              </w:rPr>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B">
            <w:pPr>
              <w:spacing w:after="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Factor 1</w:t>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sz w:val="20"/>
                <w:szCs w:val="20"/>
                <w:rtl w:val="0"/>
              </w:rPr>
              <w:t xml:space="preserve">Factor 2</w:t>
            </w:r>
            <w:r w:rsidDel="00000000" w:rsidR="00000000" w:rsidRPr="00000000">
              <w:rPr>
                <w:rtl w:val="0"/>
              </w:rPr>
            </w:r>
          </w:p>
        </w:tc>
      </w:tr>
      <w:tr>
        <w:trPr>
          <w:cantSplit w:val="0"/>
          <w:trHeight w:val="485" w:hRule="atLeast"/>
          <w:tblHeader w:val="0"/>
        </w:trPr>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0D">
            <w:pPr>
              <w:widowControl w:val="0"/>
              <w:rPr>
                <w:rFonts w:ascii="Calibri" w:cs="Calibri" w:eastAsia="Calibri" w:hAnsi="Calibri"/>
                <w:sz w:val="20"/>
                <w:szCs w:val="20"/>
              </w:rPr>
            </w:pPr>
            <w:r w:rsidDel="00000000" w:rsidR="00000000" w:rsidRPr="00000000">
              <w:rPr>
                <w:rFonts w:ascii="Calibri" w:cs="Calibri" w:eastAsia="Calibri" w:hAnsi="Calibri"/>
                <w:color w:val="333333"/>
                <w:sz w:val="20"/>
                <w:szCs w:val="20"/>
                <w:highlight w:val="white"/>
                <w:rtl w:val="0"/>
              </w:rPr>
              <w:t xml:space="preserve">1.</w:t>
            </w: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sz w:val="20"/>
                <w:szCs w:val="20"/>
                <w:rtl w:val="0"/>
              </w:rPr>
              <w:t xml:space="preserve">Listening contextually – at the basis of Engineering prac- tice is listening to and empathizing with different communi ties’ perspectives and their constituent struggles, concerns, desires, and preferences.</w:t>
            </w:r>
            <w:r w:rsidDel="00000000" w:rsidR="00000000" w:rsidRPr="00000000">
              <w:rPr>
                <w:rtl w:val="0"/>
              </w:rPr>
            </w:r>
          </w:p>
          <w:p w:rsidR="00000000" w:rsidDel="00000000" w:rsidP="00000000" w:rsidRDefault="00000000" w:rsidRPr="00000000" w14:paraId="0000000F">
            <w:pPr>
              <w:widowControl w:val="0"/>
              <w:rPr>
                <w:rFonts w:ascii="Calibri" w:cs="Calibri" w:eastAsia="Calibri" w:hAnsi="Calibri"/>
                <w:sz w:val="20"/>
                <w:szCs w:val="20"/>
              </w:rPr>
            </w:pP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10">
            <w:pPr>
              <w:widowControl w:val="0"/>
              <w:rPr>
                <w:rFonts w:ascii="Calibri" w:cs="Calibri" w:eastAsia="Calibri" w:hAnsi="Calibri"/>
                <w:sz w:val="20"/>
                <w:szCs w:val="20"/>
              </w:rPr>
            </w:pP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11">
            <w:pPr>
              <w:shd w:fill="ffffff" w:val="clear"/>
              <w:rPr>
                <w:rFonts w:ascii="Calibri" w:cs="Calibri" w:eastAsia="Calibri" w:hAnsi="Calibri"/>
                <w:sz w:val="20"/>
                <w:szCs w:val="20"/>
              </w:rPr>
            </w:pP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12">
            <w:pPr>
              <w:widowControl w:val="0"/>
              <w:rPr>
                <w:rFonts w:ascii="Calibri" w:cs="Calibri" w:eastAsia="Calibri" w:hAnsi="Calibri"/>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13">
            <w:pPr>
              <w:widowControl w:val="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2.</w:t>
            </w:r>
          </w:p>
          <w:p w:rsidR="00000000" w:rsidDel="00000000" w:rsidP="00000000" w:rsidRDefault="00000000" w:rsidRPr="00000000" w14:paraId="00000014">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t xml:space="preserve">Identifying structural conditions – these perspectives must be understood through the lens of the structural conditions (e.g., racial, gendered, socioeconomic) that constrain those communities’ opportunities, desires, and aspirations, as well as the structural conditions that constrain the engi- neers’ own opportunities, desires, and aspirations.</w:t>
            </w:r>
            <w:r w:rsidDel="00000000" w:rsidR="00000000" w:rsidRPr="00000000">
              <w:rPr>
                <w:rtl w:val="0"/>
              </w:rPr>
            </w:r>
          </w:p>
          <w:p w:rsidR="00000000" w:rsidDel="00000000" w:rsidP="00000000" w:rsidRDefault="00000000" w:rsidRPr="00000000" w14:paraId="00000016">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7">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8">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9">
            <w:pPr>
              <w:widowControl w:val="0"/>
              <w:rPr>
                <w:rFonts w:ascii="Calibri" w:cs="Calibri" w:eastAsia="Calibri" w:hAnsi="Calibri"/>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1A">
            <w:pPr>
              <w:widowControl w:val="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3.</w:t>
            </w:r>
          </w:p>
          <w:p w:rsidR="00000000" w:rsidDel="00000000" w:rsidP="00000000" w:rsidRDefault="00000000" w:rsidRPr="00000000" w14:paraId="0000001B">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C">
            <w:pPr>
              <w:widowControl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Acknowledging political agency / mobilizing power – engineers must understand how communities’ political power and agency (as well as their own) can be mobilized and leveraged when developing engineering solutions.</w:t>
            </w:r>
          </w:p>
        </w:tc>
        <w:tc>
          <w:tcPr>
            <w:tcMar>
              <w:top w:w="100.0" w:type="dxa"/>
              <w:left w:w="100.0" w:type="dxa"/>
              <w:bottom w:w="100.0" w:type="dxa"/>
              <w:right w:w="100.0" w:type="dxa"/>
            </w:tcMar>
          </w:tcPr>
          <w:p w:rsidR="00000000" w:rsidDel="00000000" w:rsidP="00000000" w:rsidRDefault="00000000" w:rsidRPr="00000000" w14:paraId="0000001D">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E">
            <w:pPr>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F">
            <w:pPr>
              <w:widowControl w:val="0"/>
              <w:rPr>
                <w:rFonts w:ascii="Calibri" w:cs="Calibri" w:eastAsia="Calibri" w:hAnsi="Calibri"/>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20">
            <w:pPr>
              <w:widowControl w:val="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4.</w:t>
            </w:r>
          </w:p>
          <w:p w:rsidR="00000000" w:rsidDel="00000000" w:rsidP="00000000" w:rsidRDefault="00000000" w:rsidRPr="00000000" w14:paraId="00000021">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t xml:space="preserve">Increasing opportunities and resources – engineers should work with communities to identify the opportunities (e.g. health, education, housing, and employment) that could be improved by leveraging and mobilizing political power, engineering solutions, and other resources, as mediated by structural conditions.</w:t>
            </w:r>
            <w:r w:rsidDel="00000000" w:rsidR="00000000" w:rsidRPr="00000000">
              <w:rPr>
                <w:rtl w:val="0"/>
              </w:rPr>
            </w:r>
          </w:p>
          <w:p w:rsidR="00000000" w:rsidDel="00000000" w:rsidP="00000000" w:rsidRDefault="00000000" w:rsidRPr="00000000" w14:paraId="00000023">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4">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5">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6">
            <w:pPr>
              <w:widowControl w:val="0"/>
              <w:rPr>
                <w:rFonts w:ascii="Calibri" w:cs="Calibri" w:eastAsia="Calibri" w:hAnsi="Calibri"/>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27">
            <w:pPr>
              <w:widowControl w:val="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5.</w:t>
            </w:r>
          </w:p>
          <w:p w:rsidR="00000000" w:rsidDel="00000000" w:rsidP="00000000" w:rsidRDefault="00000000" w:rsidRPr="00000000" w14:paraId="00000028">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t xml:space="preserve">Reducing imposed risks and harms – engineers should work with communities to identify how to leverage the identifed resources to develop solutions in a way that is sensitive to how the solution’s potential risks could be distributed across the community.</w:t>
            </w:r>
            <w:r w:rsidDel="00000000" w:rsidR="00000000" w:rsidRPr="00000000">
              <w:rPr>
                <w:rtl w:val="0"/>
              </w:rPr>
            </w:r>
          </w:p>
          <w:p w:rsidR="00000000" w:rsidDel="00000000" w:rsidP="00000000" w:rsidRDefault="00000000" w:rsidRPr="00000000" w14:paraId="0000002A">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B">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C">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D">
            <w:pPr>
              <w:widowControl w:val="0"/>
              <w:rPr>
                <w:rFonts w:ascii="Calibri" w:cs="Calibri" w:eastAsia="Calibri" w:hAnsi="Calibri"/>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2E">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F">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0">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1">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2">
            <w:pPr>
              <w:widowControl w:val="0"/>
              <w:rPr>
                <w:rFonts w:ascii="Calibri" w:cs="Calibri" w:eastAsia="Calibri" w:hAnsi="Calibri"/>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33">
            <w:pPr>
              <w:widowControl w:val="0"/>
              <w:rPr>
                <w:rFonts w:ascii="Calibri" w:cs="Calibri" w:eastAsia="Calibri" w:hAnsi="Calibri"/>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5">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6">
            <w:pPr>
              <w:widowControl w:val="0"/>
              <w:rPr>
                <w:rFonts w:ascii="Calibri" w:cs="Calibri" w:eastAsia="Calibri" w:hAnsi="Calibri"/>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7">
            <w:pPr>
              <w:widowControl w:val="0"/>
              <w:rPr>
                <w:rFonts w:ascii="Calibri" w:cs="Calibri" w:eastAsia="Calibri" w:hAnsi="Calibri"/>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38">
            <w:pPr>
              <w:widowControl w:val="0"/>
              <w:rPr>
                <w:rFonts w:ascii="Calibri" w:cs="Calibri" w:eastAsia="Calibri" w:hAnsi="Calibri"/>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A">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B">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3D">
            <w:pPr>
              <w:widowControl w:val="0"/>
              <w:rPr>
                <w:rFonts w:ascii="Calibri" w:cs="Calibri" w:eastAsia="Calibri" w:hAnsi="Calibri"/>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F">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0">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42">
            <w:pPr>
              <w:widowControl w:val="0"/>
              <w:rPr>
                <w:rFonts w:ascii="Calibri" w:cs="Calibri" w:eastAsia="Calibri" w:hAnsi="Calibri"/>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4">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5">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47">
            <w:pPr>
              <w:widowControl w:val="0"/>
              <w:rPr>
                <w:rFonts w:ascii="Calibri" w:cs="Calibri" w:eastAsia="Calibri" w:hAnsi="Calibri"/>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9">
            <w:pPr>
              <w:widowControl w:val="0"/>
              <w:rPr>
                <w:rFonts w:ascii="Calibri" w:cs="Calibri" w:eastAsia="Calibri" w:hAnsi="Calibri"/>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A">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5" w:hRule="atLeast"/>
          <w:tblHeader w:val="0"/>
        </w:trPr>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4C">
            <w:pPr>
              <w:widowControl w:val="0"/>
              <w:rPr>
                <w:rFonts w:ascii="Calibri" w:cs="Calibri" w:eastAsia="Calibri" w:hAnsi="Calibri"/>
                <w:color w:val="222222"/>
                <w:sz w:val="20"/>
                <w:szCs w:val="20"/>
                <w:highlight w:val="white"/>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4E">
            <w:pPr>
              <w:widowControl w:val="0"/>
              <w:rPr>
                <w:rFonts w:ascii="Calibri" w:cs="Calibri" w:eastAsia="Calibri" w:hAnsi="Calibri"/>
                <w:sz w:val="20"/>
                <w:szCs w:val="20"/>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4F">
            <w:pPr>
              <w:widowControl w:val="0"/>
              <w:rPr>
                <w:rFonts w:ascii="Arial" w:cs="Arial" w:eastAsia="Arial" w:hAnsi="Arial"/>
                <w:color w:val="000000"/>
                <w:sz w:val="20"/>
                <w:szCs w:val="20"/>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51">
      <w:pPr>
        <w:spacing w:after="180" w:before="180" w:line="276" w:lineRule="auto"/>
        <w:rPr>
          <w:rFonts w:ascii="Calibri" w:cs="Calibri" w:eastAsia="Calibri" w:hAnsi="Calibri"/>
          <w:sz w:val="20"/>
          <w:szCs w:val="20"/>
        </w:rPr>
      </w:pPr>
      <w:r w:rsidDel="00000000" w:rsidR="00000000" w:rsidRPr="00000000">
        <w:rPr>
          <w:rFonts w:ascii="Arial" w:cs="Arial" w:eastAsia="Arial" w:hAnsi="Arial"/>
          <w:color w:val="222222"/>
          <w:highlight w:val="white"/>
          <w:rtl w:val="0"/>
        </w:rPr>
        <w:t xml:space="preserve">Zhu, Y., Wen, R., &amp; Williams, T. (2024). Robots for Social Justice (R4SJ): Toward a More Equitable Practice of Human-Robot Interaction. 2024 19th ACM/IEEE International Conference on Human-Robot Interaction (HRI), 850–859. </w:t>
      </w:r>
      <w:hyperlink r:id="rId7">
        <w:r w:rsidDel="00000000" w:rsidR="00000000" w:rsidRPr="00000000">
          <w:rPr>
            <w:rFonts w:ascii="Arial" w:cs="Arial" w:eastAsia="Arial" w:hAnsi="Arial"/>
            <w:color w:val="1155cc"/>
            <w:highlight w:val="white"/>
            <w:u w:val="single"/>
            <w:rtl w:val="0"/>
          </w:rPr>
          <w:t xml:space="preserve">https://doi.org/10.1145/3610977.3634944</w:t>
        </w:r>
      </w:hyperlink>
      <w:r w:rsidDel="00000000" w:rsidR="00000000" w:rsidRPr="00000000">
        <w:rPr>
          <w:rtl w:val="0"/>
        </w:rPr>
      </w:r>
    </w:p>
    <w:p w:rsidR="00000000" w:rsidDel="00000000" w:rsidP="00000000" w:rsidRDefault="00000000" w:rsidRPr="00000000" w14:paraId="00000052">
      <w:pPr>
        <w:spacing w:after="180" w:before="180" w:line="276" w:lineRule="auto"/>
        <w:rPr>
          <w:rFonts w:ascii="Calibri" w:cs="Calibri" w:eastAsia="Calibri" w:hAnsi="Calibri"/>
          <w:sz w:val="20"/>
          <w:szCs w:val="20"/>
        </w:rPr>
      </w:pPr>
      <w:r w:rsidDel="00000000" w:rsidR="00000000" w:rsidRPr="00000000">
        <w:rPr>
          <w:rFonts w:ascii="Arial" w:cs="Arial" w:eastAsia="Arial" w:hAnsi="Arial"/>
          <w:color w:val="333333"/>
          <w:shd w:fill="fafafa" w:val="clear"/>
          <w:rtl w:val="0"/>
        </w:rPr>
        <w:t xml:space="preserve">Grounded in the Engineering for Social Justice (E4SJ) framework for Engineering Education </w:t>
      </w:r>
      <w:r w:rsidDel="00000000" w:rsidR="00000000" w:rsidRPr="00000000">
        <w:rPr>
          <w:rtl w:val="0"/>
        </w:rPr>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CA"/>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964365"/>
    <w:pPr>
      <w:spacing w:after="100" w:afterAutospacing="1" w:before="100" w:beforeAutospacing="1"/>
    </w:p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i.org/10.1145/3610977.363494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E/DY2otWjOlVqKoW1iafpKcrsQ==">CgMxLjA4AHIhMTdNYVV5UmpManY4enZJVnJLSmp3YUUxZEI1Xzk1N215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2025-11-29T17:08:00Z</dcterms:created>
  <dc:creator>Stephanie Sadownik</dc:creator>
</cp:coreProperties>
</file>