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3B539B" w14:paraId="7921A71D" w14:textId="77777777" w:rsidTr="003B539B">
        <w:tc>
          <w:tcPr>
            <w:tcW w:w="2590" w:type="dxa"/>
          </w:tcPr>
          <w:p w14:paraId="2A44A5FA" w14:textId="17CFCF86" w:rsidR="003B539B" w:rsidRDefault="00294A9B">
            <w:r>
              <w:t>Age groups</w:t>
            </w:r>
          </w:p>
        </w:tc>
        <w:tc>
          <w:tcPr>
            <w:tcW w:w="2590" w:type="dxa"/>
          </w:tcPr>
          <w:p w14:paraId="26A03765" w14:textId="4236810A" w:rsidR="003B539B" w:rsidRDefault="00294A9B">
            <w:r w:rsidRPr="00DA075D">
              <w:rPr>
                <w:rFonts w:ascii="Times New Roman" w:hAnsi="Times New Roman" w:cs="Times New Roman"/>
                <w:color w:val="000000"/>
              </w:rPr>
              <w:t>ease the use of technology</w:t>
            </w:r>
          </w:p>
        </w:tc>
        <w:tc>
          <w:tcPr>
            <w:tcW w:w="2590" w:type="dxa"/>
          </w:tcPr>
          <w:p w14:paraId="6B79F3C8" w14:textId="7FA9FF5E" w:rsidR="003B539B" w:rsidRDefault="00294A9B">
            <w:r w:rsidRPr="00DA075D">
              <w:rPr>
                <w:rFonts w:ascii="Times New Roman" w:hAnsi="Times New Roman" w:cs="Times New Roman"/>
                <w:color w:val="000000"/>
              </w:rPr>
              <w:t>potential</w:t>
            </w:r>
          </w:p>
        </w:tc>
        <w:tc>
          <w:tcPr>
            <w:tcW w:w="2590" w:type="dxa"/>
          </w:tcPr>
          <w:p w14:paraId="408A348B" w14:textId="683FB3FB" w:rsidR="003B539B" w:rsidRDefault="00294A9B">
            <w:r w:rsidRPr="00DA075D">
              <w:rPr>
                <w:rFonts w:ascii="Times New Roman" w:eastAsia="Times New Roman" w:hAnsi="Times New Roman" w:cs="Times New Roman"/>
                <w:lang w:val="en-CA"/>
              </w:rPr>
              <w:t>associated risks</w:t>
            </w:r>
          </w:p>
        </w:tc>
        <w:tc>
          <w:tcPr>
            <w:tcW w:w="2590" w:type="dxa"/>
          </w:tcPr>
          <w:p w14:paraId="110EA020" w14:textId="623A7442" w:rsidR="003B539B" w:rsidRDefault="00294A9B">
            <w:r w:rsidRPr="00DA075D">
              <w:rPr>
                <w:rFonts w:ascii="Times New Roman" w:hAnsi="Times New Roman" w:cs="Times New Roman"/>
              </w:rPr>
              <w:t>parental engagement</w:t>
            </w:r>
          </w:p>
        </w:tc>
      </w:tr>
      <w:tr w:rsidR="003B539B" w14:paraId="2A2FD9AF" w14:textId="77777777" w:rsidTr="003B539B">
        <w:tc>
          <w:tcPr>
            <w:tcW w:w="2590" w:type="dxa"/>
          </w:tcPr>
          <w:p w14:paraId="0F665959" w14:textId="77777777" w:rsidR="002B5F5A" w:rsidRDefault="002B5F5A" w:rsidP="00294A9B">
            <w:pPr>
              <w:shd w:val="clear" w:color="auto" w:fill="FFFFFF"/>
            </w:pPr>
          </w:p>
          <w:p w14:paraId="647E58BD" w14:textId="77777777" w:rsidR="00294A9B" w:rsidRDefault="00294A9B" w:rsidP="00294A9B">
            <w:r w:rsidRPr="00DA075D">
              <w:rPr>
                <w:rFonts w:ascii="Times New Roman" w:hAnsi="Times New Roman" w:cs="Times New Roman"/>
              </w:rPr>
              <w:t>In 2015, a focus on university students (</w:t>
            </w:r>
            <w:proofErr w:type="spellStart"/>
            <w:r w:rsidRPr="00DA075D">
              <w:rPr>
                <w:rFonts w:ascii="Times New Roman" w:hAnsi="Times New Roman" w:cs="Times New Roman"/>
              </w:rPr>
              <w:t>Pagram</w:t>
            </w:r>
            <w:proofErr w:type="spellEnd"/>
            <w:r w:rsidRPr="00DA075D">
              <w:rPr>
                <w:rFonts w:ascii="Times New Roman" w:hAnsi="Times New Roman" w:cs="Times New Roman"/>
              </w:rPr>
              <w:t xml:space="preserve">, Cooper, &amp; Newhouse, 2015; Van </w:t>
            </w:r>
            <w:proofErr w:type="spellStart"/>
            <w:r w:rsidRPr="00DA075D">
              <w:rPr>
                <w:rFonts w:ascii="Times New Roman" w:hAnsi="Times New Roman" w:cs="Times New Roman"/>
              </w:rPr>
              <w:t>Wingerden</w:t>
            </w:r>
            <w:proofErr w:type="spellEnd"/>
            <w:r w:rsidRPr="00DA075D">
              <w:rPr>
                <w:rFonts w:ascii="Times New Roman" w:hAnsi="Times New Roman" w:cs="Times New Roman"/>
              </w:rPr>
              <w:t xml:space="preserve">, </w:t>
            </w:r>
            <w:proofErr w:type="spellStart"/>
            <w:r w:rsidRPr="00DA075D">
              <w:rPr>
                <w:rFonts w:ascii="Times New Roman" w:hAnsi="Times New Roman" w:cs="Times New Roman"/>
              </w:rPr>
              <w:t>Lidz</w:t>
            </w:r>
            <w:proofErr w:type="spellEnd"/>
            <w:r w:rsidRPr="00DA075D">
              <w:rPr>
                <w:rFonts w:ascii="Times New Roman" w:hAnsi="Times New Roman" w:cs="Times New Roman"/>
              </w:rPr>
              <w:t xml:space="preserve">, </w:t>
            </w:r>
            <w:proofErr w:type="spellStart"/>
            <w:r w:rsidRPr="00DA075D">
              <w:rPr>
                <w:rFonts w:ascii="Times New Roman" w:hAnsi="Times New Roman" w:cs="Times New Roman"/>
              </w:rPr>
              <w:t>Barse</w:t>
            </w:r>
            <w:proofErr w:type="spellEnd"/>
            <w:r w:rsidRPr="00DA075D">
              <w:rPr>
                <w:rFonts w:ascii="Times New Roman" w:hAnsi="Times New Roman" w:cs="Times New Roman"/>
              </w:rPr>
              <w:t xml:space="preserve">, </w:t>
            </w:r>
            <w:proofErr w:type="spellStart"/>
            <w:r w:rsidRPr="00DA075D">
              <w:rPr>
                <w:rFonts w:ascii="Times New Roman" w:hAnsi="Times New Roman" w:cs="Times New Roman"/>
              </w:rPr>
              <w:t>DeMark</w:t>
            </w:r>
            <w:proofErr w:type="spellEnd"/>
            <w:r w:rsidRPr="00DA075D">
              <w:rPr>
                <w:rFonts w:ascii="Times New Roman" w:hAnsi="Times New Roman" w:cs="Times New Roman"/>
              </w:rPr>
              <w:t xml:space="preserve">, </w:t>
            </w:r>
            <w:proofErr w:type="spellStart"/>
            <w:r w:rsidRPr="00DA075D">
              <w:rPr>
                <w:rFonts w:ascii="Times New Roman" w:hAnsi="Times New Roman" w:cs="Times New Roman"/>
              </w:rPr>
              <w:t>Hamiter</w:t>
            </w:r>
            <w:proofErr w:type="spellEnd"/>
            <w:r w:rsidRPr="00DA075D">
              <w:rPr>
                <w:rFonts w:ascii="Times New Roman" w:hAnsi="Times New Roman" w:cs="Times New Roman"/>
              </w:rPr>
              <w:t>, 2015) became of interest and</w:t>
            </w:r>
          </w:p>
          <w:p w14:paraId="51F43B69" w14:textId="77777777" w:rsidR="00294A9B" w:rsidRDefault="00294A9B" w:rsidP="00294A9B">
            <w:pPr>
              <w:shd w:val="clear" w:color="auto" w:fill="FFFFFF"/>
            </w:pPr>
          </w:p>
          <w:p w14:paraId="63C13E27" w14:textId="77777777" w:rsidR="00294A9B" w:rsidRDefault="00294A9B" w:rsidP="00294A9B">
            <w:pPr>
              <w:shd w:val="clear" w:color="auto" w:fill="FFFFFF"/>
            </w:pPr>
          </w:p>
          <w:p w14:paraId="1B150C48" w14:textId="270EAA26" w:rsidR="00294A9B" w:rsidRDefault="00294A9B" w:rsidP="00294A9B">
            <w:pPr>
              <w:shd w:val="clear" w:color="auto" w:fill="FFFFFF"/>
            </w:pPr>
            <w:r w:rsidRPr="00DA075D">
              <w:rPr>
                <w:rFonts w:ascii="Times New Roman" w:hAnsi="Times New Roman" w:cs="Times New Roman"/>
              </w:rPr>
              <w:t xml:space="preserve">academics were focused on secondary students (Adhikari, &amp; Parsons, 2016) and primary students (McLean, 2016), </w:t>
            </w:r>
          </w:p>
        </w:tc>
        <w:tc>
          <w:tcPr>
            <w:tcW w:w="2590" w:type="dxa"/>
          </w:tcPr>
          <w:p w14:paraId="66625444" w14:textId="77777777" w:rsidR="003B539B" w:rsidRDefault="002B5F5A">
            <w:pPr>
              <w:rPr>
                <w:rFonts w:ascii="Times New Roman" w:hAnsi="Times New Roman" w:cs="Times New Roman"/>
              </w:rPr>
            </w:pPr>
            <w:r w:rsidRPr="00DA075D">
              <w:rPr>
                <w:rFonts w:ascii="Times New Roman" w:hAnsi="Times New Roman" w:cs="Times New Roman"/>
                <w:color w:val="000000"/>
              </w:rPr>
              <w:t>While the ability of a teacher or student to use their own device may ease the use of technology (</w:t>
            </w:r>
            <w:r w:rsidRPr="00DA075D">
              <w:rPr>
                <w:rFonts w:ascii="Times New Roman" w:hAnsi="Times New Roman" w:cs="Times New Roman"/>
              </w:rPr>
              <w:t xml:space="preserve">Zhang </w:t>
            </w:r>
            <w:proofErr w:type="spellStart"/>
            <w:r w:rsidRPr="00DA075D">
              <w:rPr>
                <w:rFonts w:ascii="Times New Roman" w:hAnsi="Times New Roman" w:cs="Times New Roman"/>
              </w:rPr>
              <w:t>Zhang</w:t>
            </w:r>
            <w:proofErr w:type="spellEnd"/>
            <w:r w:rsidRPr="00DA075D">
              <w:rPr>
                <w:rFonts w:ascii="Times New Roman" w:hAnsi="Times New Roman" w:cs="Times New Roman"/>
              </w:rPr>
              <w:t xml:space="preserve">, </w:t>
            </w:r>
            <w:proofErr w:type="spellStart"/>
            <w:r w:rsidRPr="00DA075D">
              <w:rPr>
                <w:rFonts w:ascii="Times New Roman" w:hAnsi="Times New Roman" w:cs="Times New Roman"/>
              </w:rPr>
              <w:t>Mouritsen</w:t>
            </w:r>
            <w:proofErr w:type="spellEnd"/>
            <w:r w:rsidRPr="00DA075D">
              <w:rPr>
                <w:rFonts w:ascii="Times New Roman" w:hAnsi="Times New Roman" w:cs="Times New Roman"/>
              </w:rPr>
              <w:t>, and Miller, 2019)</w:t>
            </w:r>
          </w:p>
          <w:p w14:paraId="071166B4" w14:textId="77777777" w:rsidR="00294A9B" w:rsidRDefault="00294A9B">
            <w:pPr>
              <w:rPr>
                <w:rFonts w:ascii="Times New Roman" w:hAnsi="Times New Roman" w:cs="Times New Roman"/>
              </w:rPr>
            </w:pPr>
          </w:p>
          <w:p w14:paraId="1184ECAB" w14:textId="0256497A" w:rsidR="00294A9B" w:rsidRDefault="00294A9B">
            <w:r w:rsidRPr="00DA075D">
              <w:rPr>
                <w:rFonts w:ascii="Times New Roman" w:hAnsi="Times New Roman" w:cs="Times New Roman"/>
              </w:rPr>
              <w:t>In 2016, two years after the initial onset of BYOD research, academics were focused academic r</w:t>
            </w:r>
            <w:proofErr w:type="spellStart"/>
            <w:r w:rsidRPr="00DA075D">
              <w:rPr>
                <w:rFonts w:ascii="Times New Roman" w:hAnsi="Times New Roman" w:cs="Times New Roman"/>
              </w:rPr>
              <w:t>igour</w:t>
            </w:r>
            <w:proofErr w:type="spellEnd"/>
            <w:r w:rsidRPr="00DA075D">
              <w:rPr>
                <w:rFonts w:ascii="Times New Roman" w:hAnsi="Times New Roman" w:cs="Times New Roman"/>
              </w:rPr>
              <w:t xml:space="preserve"> (Dawson, 2016).</w:t>
            </w:r>
          </w:p>
        </w:tc>
        <w:tc>
          <w:tcPr>
            <w:tcW w:w="2590" w:type="dxa"/>
          </w:tcPr>
          <w:p w14:paraId="425CA323" w14:textId="77777777" w:rsidR="003B539B" w:rsidRDefault="002B5F5A">
            <w:pPr>
              <w:rPr>
                <w:rFonts w:ascii="Times New Roman" w:eastAsia="Times New Roman" w:hAnsi="Times New Roman" w:cs="Times New Roman"/>
                <w:lang w:val="en-CA"/>
              </w:rPr>
            </w:pPr>
            <w:r w:rsidRPr="00DA075D">
              <w:rPr>
                <w:rFonts w:ascii="Times New Roman" w:hAnsi="Times New Roman" w:cs="Times New Roman"/>
                <w:color w:val="000000"/>
              </w:rPr>
              <w:t>potential use of cellphones (</w:t>
            </w:r>
            <w:proofErr w:type="spellStart"/>
            <w:r w:rsidRPr="00DA075D">
              <w:rPr>
                <w:rFonts w:ascii="Times New Roman" w:hAnsi="Times New Roman" w:cs="Times New Roman"/>
              </w:rPr>
              <w:t>Bruder</w:t>
            </w:r>
            <w:proofErr w:type="spellEnd"/>
            <w:r w:rsidRPr="00DA075D">
              <w:rPr>
                <w:rFonts w:ascii="Times New Roman" w:hAnsi="Times New Roman" w:cs="Times New Roman"/>
              </w:rPr>
              <w:t xml:space="preserve">, 2014; </w:t>
            </w:r>
            <w:proofErr w:type="spellStart"/>
            <w:r w:rsidRPr="00DA075D">
              <w:rPr>
                <w:rFonts w:ascii="Times New Roman" w:eastAsia="Times New Roman" w:hAnsi="Times New Roman" w:cs="Times New Roman"/>
                <w:lang w:val="en-CA"/>
              </w:rPr>
              <w:t>Imazeki</w:t>
            </w:r>
            <w:proofErr w:type="spellEnd"/>
            <w:r w:rsidRPr="00DA075D">
              <w:rPr>
                <w:rFonts w:ascii="Times New Roman" w:eastAsia="Times New Roman" w:hAnsi="Times New Roman" w:cs="Times New Roman"/>
                <w:lang w:val="en-CA"/>
              </w:rPr>
              <w:t xml:space="preserve">, 2014) </w:t>
            </w:r>
          </w:p>
          <w:p w14:paraId="3E23CE92" w14:textId="77777777" w:rsidR="00294A9B" w:rsidRDefault="00294A9B">
            <w:pPr>
              <w:rPr>
                <w:rFonts w:eastAsia="Times New Roman"/>
                <w:lang w:val="en-CA"/>
              </w:rPr>
            </w:pPr>
          </w:p>
          <w:p w14:paraId="2DC9FE8A" w14:textId="77777777" w:rsidR="00294A9B" w:rsidRDefault="00294A9B">
            <w:pPr>
              <w:rPr>
                <w:rFonts w:ascii="Times New Roman" w:hAnsi="Times New Roman" w:cs="Times New Roman"/>
              </w:rPr>
            </w:pPr>
            <w:r w:rsidRPr="00DA075D">
              <w:rPr>
                <w:rFonts w:ascii="Times New Roman" w:hAnsi="Times New Roman" w:cs="Times New Roman"/>
              </w:rPr>
              <w:t>Flipped classrooms (Hung, 2017), motivation (Castillo-Manzano, Castro-Nuno, Lopez-</w:t>
            </w:r>
            <w:proofErr w:type="spellStart"/>
            <w:r w:rsidRPr="00DA075D">
              <w:rPr>
                <w:rFonts w:ascii="Times New Roman" w:hAnsi="Times New Roman" w:cs="Times New Roman"/>
              </w:rPr>
              <w:t>Valpuesta</w:t>
            </w:r>
            <w:proofErr w:type="spellEnd"/>
            <w:r w:rsidRPr="00DA075D">
              <w:rPr>
                <w:rFonts w:ascii="Times New Roman" w:hAnsi="Times New Roman" w:cs="Times New Roman"/>
              </w:rPr>
              <w:t xml:space="preserve">, Sanz-Diaz,  &amp; </w:t>
            </w:r>
            <w:proofErr w:type="spellStart"/>
            <w:r w:rsidRPr="00DA075D">
              <w:rPr>
                <w:rFonts w:ascii="Times New Roman" w:hAnsi="Times New Roman" w:cs="Times New Roman"/>
              </w:rPr>
              <w:t>Yniguez</w:t>
            </w:r>
            <w:proofErr w:type="spellEnd"/>
            <w:r w:rsidRPr="00DA075D">
              <w:rPr>
                <w:rFonts w:ascii="Times New Roman" w:hAnsi="Times New Roman" w:cs="Times New Roman"/>
              </w:rPr>
              <w:t>, 2017; Hopkins, Tate,</w:t>
            </w:r>
            <w:r>
              <w:rPr>
                <w:rFonts w:ascii="Times New Roman" w:hAnsi="Times New Roman" w:cs="Times New Roman"/>
              </w:rPr>
              <w:t xml:space="preserve"> </w:t>
            </w:r>
            <w:r w:rsidRPr="00DA075D">
              <w:rPr>
                <w:rFonts w:ascii="Times New Roman" w:hAnsi="Times New Roman" w:cs="Times New Roman"/>
              </w:rPr>
              <w:t xml:space="preserve">Sylvester, &amp; Johnstone, 2017; Laxman, &amp; Holt, 2017) and distractions (Kay, </w:t>
            </w:r>
            <w:proofErr w:type="spellStart"/>
            <w:r w:rsidRPr="00DA075D">
              <w:rPr>
                <w:rFonts w:ascii="Times New Roman" w:hAnsi="Times New Roman" w:cs="Times New Roman"/>
              </w:rPr>
              <w:t>Benzimra</w:t>
            </w:r>
            <w:proofErr w:type="spellEnd"/>
            <w:r w:rsidRPr="00DA075D">
              <w:rPr>
                <w:rFonts w:ascii="Times New Roman" w:hAnsi="Times New Roman" w:cs="Times New Roman"/>
              </w:rPr>
              <w:t>, &amp; Li, 2017)</w:t>
            </w:r>
          </w:p>
          <w:p w14:paraId="049471A3" w14:textId="77777777" w:rsidR="00294A9B" w:rsidRDefault="00294A9B">
            <w:pPr>
              <w:rPr>
                <w:rFonts w:ascii="Times New Roman" w:hAnsi="Times New Roman" w:cs="Times New Roman"/>
              </w:rPr>
            </w:pPr>
          </w:p>
          <w:p w14:paraId="33780CAD" w14:textId="4DD82167" w:rsidR="00294A9B" w:rsidRDefault="00294A9B">
            <w:r w:rsidRPr="00DA075D">
              <w:rPr>
                <w:rFonts w:ascii="Times New Roman" w:hAnsi="Times New Roman" w:cs="Times New Roman"/>
              </w:rPr>
              <w:t>Adding apps to BYOD appeared in 2018 (Song, &amp; Wen, 2018)</w:t>
            </w:r>
          </w:p>
        </w:tc>
        <w:tc>
          <w:tcPr>
            <w:tcW w:w="2590" w:type="dxa"/>
          </w:tcPr>
          <w:p w14:paraId="0CAE50F0" w14:textId="77777777" w:rsidR="003B539B" w:rsidRDefault="00294A9B">
            <w:pPr>
              <w:rPr>
                <w:rFonts w:ascii="Times New Roman" w:hAnsi="Times New Roman" w:cs="Times New Roman"/>
              </w:rPr>
            </w:pPr>
            <w:r w:rsidRPr="00DA075D">
              <w:rPr>
                <w:rFonts w:ascii="Times New Roman" w:eastAsia="Times New Roman" w:hAnsi="Times New Roman" w:cs="Times New Roman"/>
                <w:lang w:val="en-CA"/>
              </w:rPr>
              <w:t>and the associated risks (</w:t>
            </w:r>
            <w:proofErr w:type="spellStart"/>
            <w:r w:rsidRPr="00DA075D">
              <w:rPr>
                <w:rFonts w:ascii="Times New Roman" w:hAnsi="Times New Roman" w:cs="Times New Roman"/>
              </w:rPr>
              <w:t>Bruder</w:t>
            </w:r>
            <w:proofErr w:type="spellEnd"/>
            <w:r w:rsidRPr="00DA075D">
              <w:rPr>
                <w:rFonts w:ascii="Times New Roman" w:hAnsi="Times New Roman" w:cs="Times New Roman"/>
              </w:rPr>
              <w:t>, 2014).</w:t>
            </w:r>
          </w:p>
          <w:p w14:paraId="09CF0B03" w14:textId="77777777" w:rsidR="00294A9B" w:rsidRDefault="00294A9B"/>
          <w:p w14:paraId="5A0992A1" w14:textId="77777777" w:rsidR="00294A9B" w:rsidRDefault="00294A9B">
            <w:pPr>
              <w:rPr>
                <w:rFonts w:ascii="Times New Roman" w:hAnsi="Times New Roman" w:cs="Times New Roman"/>
              </w:rPr>
            </w:pPr>
            <w:r w:rsidRPr="00DA075D">
              <w:rPr>
                <w:rFonts w:ascii="Times New Roman" w:hAnsi="Times New Roman" w:cs="Times New Roman"/>
              </w:rPr>
              <w:t>Once again, security issues were also considered (</w:t>
            </w:r>
            <w:proofErr w:type="spellStart"/>
            <w:r w:rsidRPr="00DA075D">
              <w:rPr>
                <w:rFonts w:ascii="Times New Roman" w:hAnsi="Times New Roman" w:cs="Times New Roman"/>
              </w:rPr>
              <w:t>Olalere</w:t>
            </w:r>
            <w:proofErr w:type="spellEnd"/>
            <w:r w:rsidRPr="00DA075D">
              <w:rPr>
                <w:rFonts w:ascii="Times New Roman" w:hAnsi="Times New Roman" w:cs="Times New Roman"/>
              </w:rPr>
              <w:t xml:space="preserve">, Abdullah, </w:t>
            </w:r>
            <w:proofErr w:type="spellStart"/>
            <w:r w:rsidRPr="00DA075D">
              <w:rPr>
                <w:rFonts w:ascii="Times New Roman" w:hAnsi="Times New Roman" w:cs="Times New Roman"/>
              </w:rPr>
              <w:t>Mahmod</w:t>
            </w:r>
            <w:proofErr w:type="spellEnd"/>
            <w:r w:rsidRPr="00DA075D">
              <w:rPr>
                <w:rFonts w:ascii="Times New Roman" w:hAnsi="Times New Roman" w:cs="Times New Roman"/>
              </w:rPr>
              <w:t>, &amp; Abdullah, 2015).</w:t>
            </w:r>
          </w:p>
          <w:p w14:paraId="25425891" w14:textId="77777777" w:rsidR="00294A9B" w:rsidRDefault="00294A9B"/>
          <w:p w14:paraId="7D4C8BC3" w14:textId="77777777" w:rsidR="00294A9B" w:rsidRPr="00DA075D" w:rsidRDefault="00294A9B" w:rsidP="00294A9B">
            <w:pPr>
              <w:shd w:val="clear" w:color="auto" w:fill="FFFFFF"/>
              <w:rPr>
                <w:rFonts w:ascii="Times New Roman" w:hAnsi="Times New Roman" w:cs="Times New Roman"/>
              </w:rPr>
            </w:pPr>
            <w:proofErr w:type="gramStart"/>
            <w:r w:rsidRPr="00DA075D">
              <w:rPr>
                <w:rFonts w:ascii="Times New Roman" w:hAnsi="Times New Roman" w:cs="Times New Roman"/>
              </w:rPr>
              <w:t>finally</w:t>
            </w:r>
            <w:proofErr w:type="gramEnd"/>
            <w:r w:rsidRPr="00DA075D">
              <w:rPr>
                <w:rFonts w:ascii="Times New Roman" w:hAnsi="Times New Roman" w:cs="Times New Roman"/>
              </w:rPr>
              <w:t xml:space="preserve"> teachers experiences with </w:t>
            </w:r>
            <w:r w:rsidRPr="00294A9B">
              <w:rPr>
                <w:rFonts w:ascii="Times New Roman" w:hAnsi="Times New Roman" w:cs="Times New Roman"/>
                <w:highlight w:val="yellow"/>
              </w:rPr>
              <w:t>always on</w:t>
            </w:r>
            <w:r w:rsidRPr="00DA075D">
              <w:rPr>
                <w:rFonts w:ascii="Times New Roman" w:hAnsi="Times New Roman" w:cs="Times New Roman"/>
              </w:rPr>
              <w:t xml:space="preserve"> became of interest in 2019 (Murray, Luo, &amp; Franklin, 2019).</w:t>
            </w:r>
          </w:p>
          <w:p w14:paraId="289698A5" w14:textId="77777777" w:rsidR="00294A9B" w:rsidRDefault="00294A9B"/>
          <w:p w14:paraId="6B760E54" w14:textId="77777777" w:rsidR="00294A9B" w:rsidRDefault="00294A9B">
            <w:pPr>
              <w:rPr>
                <w:rFonts w:ascii="Times New Roman" w:hAnsi="Times New Roman" w:cs="Times New Roman"/>
              </w:rPr>
            </w:pPr>
            <w:r w:rsidRPr="00DA075D">
              <w:rPr>
                <w:rFonts w:ascii="Times New Roman" w:hAnsi="Times New Roman" w:cs="Times New Roman"/>
              </w:rPr>
              <w:t>risks to health (</w:t>
            </w:r>
            <w:proofErr w:type="spellStart"/>
            <w:r w:rsidRPr="00DA075D">
              <w:rPr>
                <w:rFonts w:ascii="Times New Roman" w:hAnsi="Times New Roman" w:cs="Times New Roman"/>
              </w:rPr>
              <w:t>Merga</w:t>
            </w:r>
            <w:proofErr w:type="spellEnd"/>
            <w:r w:rsidRPr="00DA075D">
              <w:rPr>
                <w:rFonts w:ascii="Times New Roman" w:hAnsi="Times New Roman" w:cs="Times New Roman"/>
              </w:rPr>
              <w:t>, 2016)</w:t>
            </w:r>
          </w:p>
          <w:p w14:paraId="35B40F26" w14:textId="77777777" w:rsidR="00294A9B" w:rsidRDefault="00294A9B"/>
          <w:p w14:paraId="48A4B456" w14:textId="77777777" w:rsidR="00294A9B" w:rsidRDefault="00294A9B">
            <w:pPr>
              <w:rPr>
                <w:rFonts w:ascii="Times New Roman" w:hAnsi="Times New Roman" w:cs="Times New Roman"/>
              </w:rPr>
            </w:pPr>
            <w:r w:rsidRPr="00DA075D">
              <w:rPr>
                <w:rFonts w:ascii="Times New Roman" w:eastAsia="Times New Roman" w:hAnsi="Times New Roman" w:cs="Times New Roman"/>
                <w:color w:val="000000"/>
              </w:rPr>
              <w:t xml:space="preserve">The </w:t>
            </w:r>
            <w:r w:rsidRPr="00DA075D">
              <w:rPr>
                <w:rFonts w:ascii="Times New Roman" w:hAnsi="Times New Roman" w:cs="Times New Roman"/>
              </w:rPr>
              <w:t xml:space="preserve">Office of the Privacy Commissioner of Canada (2015) outlined privacy and security risks of a bring your own device (BYOD) program for organizations that included guidelines for organizations to develop, communicate implement and enforce </w:t>
            </w:r>
            <w:r w:rsidRPr="00DA075D">
              <w:rPr>
                <w:rFonts w:ascii="Times New Roman" w:hAnsi="Times New Roman" w:cs="Times New Roman"/>
              </w:rPr>
              <w:lastRenderedPageBreak/>
              <w:t xml:space="preserve">a BYOD-specific policy.  </w:t>
            </w:r>
          </w:p>
          <w:p w14:paraId="3500250B" w14:textId="77777777" w:rsidR="00294A9B" w:rsidRDefault="00294A9B"/>
          <w:p w14:paraId="1F8B174D" w14:textId="6199D675" w:rsidR="00294A9B" w:rsidRDefault="00294A9B">
            <w:r w:rsidRPr="00DA075D">
              <w:rPr>
                <w:rFonts w:ascii="Times New Roman" w:hAnsi="Times New Roman" w:cs="Times New Roman"/>
              </w:rPr>
              <w:t>Using terms such as “vital” and “privacy impact assessment” (PIA) the Commissioner asks organizations to conduct “threat risk assessments” (TRA) related to the “risks associated with the collection, use, disclosure, storage and retention of personal information” (p. 2) enabled through the implementation of BYOD programs.</w:t>
            </w:r>
          </w:p>
        </w:tc>
        <w:tc>
          <w:tcPr>
            <w:tcW w:w="2590" w:type="dxa"/>
          </w:tcPr>
          <w:p w14:paraId="6A47BC48" w14:textId="77777777" w:rsidR="003B539B" w:rsidRDefault="00294A9B">
            <w:pPr>
              <w:rPr>
                <w:rFonts w:ascii="Times New Roman" w:hAnsi="Times New Roman" w:cs="Times New Roman"/>
              </w:rPr>
            </w:pPr>
            <w:r w:rsidRPr="00DA075D">
              <w:rPr>
                <w:rFonts w:ascii="Times New Roman" w:hAnsi="Times New Roman" w:cs="Times New Roman"/>
              </w:rPr>
              <w:lastRenderedPageBreak/>
              <w:t>(Kiger &amp; Herro, 2015).</w:t>
            </w:r>
          </w:p>
          <w:p w14:paraId="236FC069" w14:textId="77777777" w:rsidR="00294A9B" w:rsidRDefault="00294A9B"/>
          <w:p w14:paraId="36099F45" w14:textId="1135485A" w:rsidR="00294A9B" w:rsidRDefault="00294A9B">
            <w:r w:rsidRPr="00DA075D">
              <w:rPr>
                <w:rFonts w:ascii="Times New Roman" w:hAnsi="Times New Roman" w:cs="Times New Roman"/>
              </w:rPr>
              <w:t xml:space="preserve">were introduced in 2017 while parent engagement was revisited (Chan, Liao, Cheng, Chang, 2017).  </w:t>
            </w:r>
          </w:p>
        </w:tc>
      </w:tr>
      <w:tr w:rsidR="003B539B" w14:paraId="11D7A3D8" w14:textId="77777777" w:rsidTr="003B539B">
        <w:tc>
          <w:tcPr>
            <w:tcW w:w="2590" w:type="dxa"/>
          </w:tcPr>
          <w:p w14:paraId="08BECA39" w14:textId="40682100" w:rsidR="003B539B" w:rsidRDefault="003B539B"/>
        </w:tc>
        <w:tc>
          <w:tcPr>
            <w:tcW w:w="2590" w:type="dxa"/>
          </w:tcPr>
          <w:p w14:paraId="1A60904D" w14:textId="77777777" w:rsidR="003B539B" w:rsidRDefault="003B539B" w:rsidP="002B5F5A">
            <w:pPr>
              <w:shd w:val="clear" w:color="auto" w:fill="FFFFFF"/>
            </w:pPr>
          </w:p>
        </w:tc>
        <w:tc>
          <w:tcPr>
            <w:tcW w:w="2590" w:type="dxa"/>
          </w:tcPr>
          <w:p w14:paraId="02AB1ECB" w14:textId="77777777" w:rsidR="003B539B" w:rsidRPr="00DA075D" w:rsidRDefault="003B539B" w:rsidP="003B539B">
            <w:pPr>
              <w:shd w:val="clear" w:color="auto" w:fill="FFFFFF"/>
              <w:rPr>
                <w:rFonts w:ascii="Times New Roman" w:hAnsi="Times New Roman" w:cs="Times New Roman"/>
              </w:rPr>
            </w:pPr>
          </w:p>
          <w:p w14:paraId="058C982B" w14:textId="06CD8DE9" w:rsidR="003B539B" w:rsidRDefault="003B539B" w:rsidP="003B539B"/>
        </w:tc>
        <w:tc>
          <w:tcPr>
            <w:tcW w:w="2590" w:type="dxa"/>
          </w:tcPr>
          <w:p w14:paraId="7DB653F4" w14:textId="110B294F" w:rsidR="003B539B" w:rsidRDefault="003B539B"/>
        </w:tc>
        <w:tc>
          <w:tcPr>
            <w:tcW w:w="2590" w:type="dxa"/>
          </w:tcPr>
          <w:p w14:paraId="56BFA988" w14:textId="1452677F" w:rsidR="003B539B" w:rsidRDefault="003B539B"/>
        </w:tc>
      </w:tr>
      <w:tr w:rsidR="003B539B" w14:paraId="2F265ADB" w14:textId="77777777" w:rsidTr="00294A9B">
        <w:trPr>
          <w:trHeight w:val="371"/>
        </w:trPr>
        <w:tc>
          <w:tcPr>
            <w:tcW w:w="2590" w:type="dxa"/>
          </w:tcPr>
          <w:p w14:paraId="7F5043CF" w14:textId="03A32030" w:rsidR="003B539B" w:rsidRPr="00DA075D" w:rsidRDefault="003B539B">
            <w:pPr>
              <w:rPr>
                <w:rFonts w:ascii="Times New Roman" w:hAnsi="Times New Roman" w:cs="Times New Roman"/>
                <w:color w:val="000000"/>
              </w:rPr>
            </w:pPr>
          </w:p>
        </w:tc>
        <w:tc>
          <w:tcPr>
            <w:tcW w:w="2590" w:type="dxa"/>
          </w:tcPr>
          <w:p w14:paraId="4546519D" w14:textId="01C9D869" w:rsidR="003B539B" w:rsidRPr="00DA075D" w:rsidRDefault="003B539B" w:rsidP="003B539B">
            <w:pPr>
              <w:shd w:val="clear" w:color="auto" w:fill="FFFFFF"/>
              <w:rPr>
                <w:rFonts w:ascii="Times New Roman" w:hAnsi="Times New Roman" w:cs="Times New Roman"/>
                <w:color w:val="000000"/>
              </w:rPr>
            </w:pPr>
          </w:p>
        </w:tc>
        <w:tc>
          <w:tcPr>
            <w:tcW w:w="2590" w:type="dxa"/>
          </w:tcPr>
          <w:p w14:paraId="35B5BFCA" w14:textId="17DEDED0" w:rsidR="003B539B" w:rsidRPr="00DA075D" w:rsidRDefault="003B539B" w:rsidP="003B539B">
            <w:pPr>
              <w:shd w:val="clear" w:color="auto" w:fill="FFFFFF"/>
              <w:rPr>
                <w:rFonts w:ascii="Times New Roman" w:hAnsi="Times New Roman" w:cs="Times New Roman"/>
              </w:rPr>
            </w:pPr>
          </w:p>
        </w:tc>
        <w:tc>
          <w:tcPr>
            <w:tcW w:w="2590" w:type="dxa"/>
          </w:tcPr>
          <w:p w14:paraId="188B745D" w14:textId="39ABF193" w:rsidR="003B539B" w:rsidRPr="00DA075D" w:rsidRDefault="003B539B">
            <w:pPr>
              <w:rPr>
                <w:rFonts w:ascii="Times New Roman" w:hAnsi="Times New Roman" w:cs="Times New Roman"/>
                <w:color w:val="000000"/>
              </w:rPr>
            </w:pPr>
          </w:p>
        </w:tc>
        <w:tc>
          <w:tcPr>
            <w:tcW w:w="2590" w:type="dxa"/>
          </w:tcPr>
          <w:p w14:paraId="38FBCE4E" w14:textId="77777777" w:rsidR="003B539B" w:rsidRPr="00DA075D" w:rsidRDefault="003B539B" w:rsidP="00294A9B">
            <w:pPr>
              <w:shd w:val="clear" w:color="auto" w:fill="FFFFFF"/>
              <w:rPr>
                <w:rFonts w:ascii="Times New Roman" w:hAnsi="Times New Roman" w:cs="Times New Roman"/>
              </w:rPr>
            </w:pPr>
          </w:p>
        </w:tc>
      </w:tr>
    </w:tbl>
    <w:p w14:paraId="35C715E5" w14:textId="09630C89" w:rsidR="00312E8B" w:rsidRDefault="00977A30"/>
    <w:sectPr w:rsidR="00312E8B" w:rsidSect="003B539B">
      <w:head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0F1AFE" w14:textId="77777777" w:rsidR="00977A30" w:rsidRDefault="00977A30" w:rsidP="002B5F5A">
      <w:r>
        <w:separator/>
      </w:r>
    </w:p>
  </w:endnote>
  <w:endnote w:type="continuationSeparator" w:id="0">
    <w:p w14:paraId="1AB22FAC" w14:textId="77777777" w:rsidR="00977A30" w:rsidRDefault="00977A30" w:rsidP="002B5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BA7672" w14:textId="77777777" w:rsidR="00977A30" w:rsidRDefault="00977A30" w:rsidP="002B5F5A">
      <w:r>
        <w:separator/>
      </w:r>
    </w:p>
  </w:footnote>
  <w:footnote w:type="continuationSeparator" w:id="0">
    <w:p w14:paraId="0DE62668" w14:textId="77777777" w:rsidR="00977A30" w:rsidRDefault="00977A30" w:rsidP="002B5F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952B3D" w14:textId="295E23FD" w:rsidR="002B5F5A" w:rsidRDefault="002B5F5A">
    <w:pPr>
      <w:pStyle w:val="Header"/>
    </w:pPr>
    <w:r>
      <w:t>Previous Research in BYOD- Lit Review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8E36AF5"/>
    <w:multiLevelType w:val="hybridMultilevel"/>
    <w:tmpl w:val="EF202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39B"/>
    <w:rsid w:val="001F223D"/>
    <w:rsid w:val="00294A9B"/>
    <w:rsid w:val="002B5F5A"/>
    <w:rsid w:val="002E2F01"/>
    <w:rsid w:val="003B539B"/>
    <w:rsid w:val="004761FC"/>
    <w:rsid w:val="0087393C"/>
    <w:rsid w:val="00977A30"/>
    <w:rsid w:val="00B7049D"/>
    <w:rsid w:val="00BA3BDD"/>
    <w:rsid w:val="00DF0F74"/>
    <w:rsid w:val="00F552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E47AC2"/>
  <w14:defaultImageDpi w14:val="32767"/>
  <w15:chartTrackingRefBased/>
  <w15:docId w15:val="{6E6D51E0-4A9D-1347-96A6-176686C37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53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539B"/>
    <w:pPr>
      <w:ind w:left="720"/>
      <w:contextualSpacing/>
    </w:pPr>
    <w:rPr>
      <w:rFonts w:eastAsiaTheme="minorHAnsi"/>
    </w:rPr>
  </w:style>
  <w:style w:type="paragraph" w:styleId="Header">
    <w:name w:val="header"/>
    <w:basedOn w:val="Normal"/>
    <w:link w:val="HeaderChar"/>
    <w:uiPriority w:val="99"/>
    <w:unhideWhenUsed/>
    <w:rsid w:val="002B5F5A"/>
    <w:pPr>
      <w:tabs>
        <w:tab w:val="center" w:pos="4680"/>
        <w:tab w:val="right" w:pos="9360"/>
      </w:tabs>
    </w:pPr>
  </w:style>
  <w:style w:type="character" w:customStyle="1" w:styleId="HeaderChar">
    <w:name w:val="Header Char"/>
    <w:basedOn w:val="DefaultParagraphFont"/>
    <w:link w:val="Header"/>
    <w:uiPriority w:val="99"/>
    <w:rsid w:val="002B5F5A"/>
    <w:rPr>
      <w:rFonts w:eastAsiaTheme="minorEastAsia"/>
    </w:rPr>
  </w:style>
  <w:style w:type="paragraph" w:styleId="Footer">
    <w:name w:val="footer"/>
    <w:basedOn w:val="Normal"/>
    <w:link w:val="FooterChar"/>
    <w:uiPriority w:val="99"/>
    <w:unhideWhenUsed/>
    <w:rsid w:val="002B5F5A"/>
    <w:pPr>
      <w:tabs>
        <w:tab w:val="center" w:pos="4680"/>
        <w:tab w:val="right" w:pos="9360"/>
      </w:tabs>
    </w:pPr>
  </w:style>
  <w:style w:type="character" w:customStyle="1" w:styleId="FooterChar">
    <w:name w:val="Footer Char"/>
    <w:basedOn w:val="DefaultParagraphFont"/>
    <w:link w:val="Footer"/>
    <w:uiPriority w:val="99"/>
    <w:rsid w:val="002B5F5A"/>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292</Words>
  <Characters>1669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2020-09-01T00:37:00Z</dcterms:created>
  <dcterms:modified xsi:type="dcterms:W3CDTF">2020-09-01T01:09:00Z</dcterms:modified>
</cp:coreProperties>
</file>