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C66E25" w14:paraId="4335AA5E" w14:textId="77777777" w:rsidTr="00C66E25">
        <w:tc>
          <w:tcPr>
            <w:tcW w:w="2590" w:type="dxa"/>
          </w:tcPr>
          <w:p w14:paraId="57A59DD1" w14:textId="67B8F327" w:rsidR="00C66E25" w:rsidRDefault="008556CB">
            <w:r>
              <w:rPr>
                <w:color w:val="000000" w:themeColor="text1"/>
              </w:rPr>
              <w:t>development</w:t>
            </w:r>
          </w:p>
        </w:tc>
        <w:tc>
          <w:tcPr>
            <w:tcW w:w="2590" w:type="dxa"/>
          </w:tcPr>
          <w:p w14:paraId="07A448B2" w14:textId="443F825E" w:rsidR="00C66E25" w:rsidRDefault="008556CB">
            <w:r>
              <w:rPr>
                <w:color w:val="000000" w:themeColor="text1"/>
              </w:rPr>
              <w:t>experiences</w:t>
            </w:r>
          </w:p>
        </w:tc>
        <w:tc>
          <w:tcPr>
            <w:tcW w:w="2590" w:type="dxa"/>
          </w:tcPr>
          <w:p w14:paraId="44858478" w14:textId="2659F30A" w:rsidR="00C66E25" w:rsidRDefault="008556CB" w:rsidP="008556CB">
            <w:pPr>
              <w:ind w:firstLine="720"/>
            </w:pPr>
            <w:r>
              <w:t>“fit”</w:t>
            </w:r>
          </w:p>
        </w:tc>
        <w:tc>
          <w:tcPr>
            <w:tcW w:w="2590" w:type="dxa"/>
          </w:tcPr>
          <w:p w14:paraId="5137C516" w14:textId="4F2DE7A1" w:rsidR="00C66E25" w:rsidRDefault="008556CB" w:rsidP="008556CB">
            <w:r>
              <w:t>Social construct</w:t>
            </w:r>
            <w:r>
              <w:t>s</w:t>
            </w:r>
          </w:p>
        </w:tc>
        <w:tc>
          <w:tcPr>
            <w:tcW w:w="2590" w:type="dxa"/>
          </w:tcPr>
          <w:p w14:paraId="6390C07F" w14:textId="7A9B4AEA" w:rsidR="00C66E25" w:rsidRDefault="008556CB">
            <w:r>
              <w:t>Meaning</w:t>
            </w:r>
          </w:p>
        </w:tc>
      </w:tr>
      <w:tr w:rsidR="00C66E25" w14:paraId="0AED5B2A" w14:textId="77777777" w:rsidTr="00C66E25">
        <w:tc>
          <w:tcPr>
            <w:tcW w:w="2590" w:type="dxa"/>
          </w:tcPr>
          <w:p w14:paraId="31E9E10F" w14:textId="77777777" w:rsidR="008556CB" w:rsidRDefault="008556CB" w:rsidP="008556CB">
            <w:pPr>
              <w:rPr>
                <w:color w:val="000000" w:themeColor="text1"/>
              </w:rPr>
            </w:pPr>
            <w:r>
              <w:rPr>
                <w:color w:val="000000" w:themeColor="text1"/>
              </w:rPr>
              <w:t>Variability and consistency typify processes of life-course human development. As lives unfold, human development and learning occur in wide-ranging social and physical contexts (</w:t>
            </w:r>
            <w:r w:rsidRPr="00E24454">
              <w:rPr>
                <w:color w:val="000000" w:themeColor="text1"/>
              </w:rPr>
              <w:t>Spencer, 2006</w:t>
            </w:r>
            <w:r>
              <w:rPr>
                <w:color w:val="000000" w:themeColor="text1"/>
              </w:rPr>
              <w:t>, p. 696</w:t>
            </w:r>
            <w:r w:rsidRPr="00E24454">
              <w:rPr>
                <w:color w:val="000000" w:themeColor="text1"/>
              </w:rPr>
              <w:t>).</w:t>
            </w:r>
          </w:p>
          <w:p w14:paraId="7CD5B701" w14:textId="77777777" w:rsidR="00C66E25" w:rsidRDefault="00C66E25"/>
        </w:tc>
        <w:tc>
          <w:tcPr>
            <w:tcW w:w="2590" w:type="dxa"/>
          </w:tcPr>
          <w:p w14:paraId="73E05C45" w14:textId="77777777" w:rsidR="008556CB" w:rsidRPr="0019489C" w:rsidRDefault="008556CB" w:rsidP="008556CB">
            <w:r>
              <w:rPr>
                <w:color w:val="000000" w:themeColor="text1"/>
              </w:rPr>
              <w:t>Diverse settings provide unique and repetitive as well as positive and challenging experiences, depending on an individual’s physical and personal characteristics (</w:t>
            </w:r>
            <w:r w:rsidRPr="00E24454">
              <w:rPr>
                <w:color w:val="000000" w:themeColor="text1"/>
              </w:rPr>
              <w:t>Spencer, 2006</w:t>
            </w:r>
            <w:r>
              <w:rPr>
                <w:color w:val="000000" w:themeColor="text1"/>
              </w:rPr>
              <w:t>, p. 696</w:t>
            </w:r>
            <w:r w:rsidRPr="00E24454">
              <w:rPr>
                <w:color w:val="000000" w:themeColor="text1"/>
              </w:rPr>
              <w:t>).</w:t>
            </w:r>
          </w:p>
          <w:p w14:paraId="2DDA9FEB" w14:textId="77777777" w:rsidR="00C66E25" w:rsidRDefault="00C66E25"/>
        </w:tc>
        <w:tc>
          <w:tcPr>
            <w:tcW w:w="2590" w:type="dxa"/>
          </w:tcPr>
          <w:p w14:paraId="5A4B43CD" w14:textId="77777777" w:rsidR="008556CB" w:rsidRPr="0019489C" w:rsidRDefault="008556CB" w:rsidP="008556CB">
            <w:r>
              <w:t xml:space="preserve">Thus, the degree of “fit” between an individual’s physical and social contexts and his or her personal characteristics becomes important because it influences not only the nature of social interactions but the makeup of attitudes and beliefs about “self” and others </w:t>
            </w:r>
            <w:r>
              <w:rPr>
                <w:color w:val="000000" w:themeColor="text1"/>
              </w:rPr>
              <w:t>(</w:t>
            </w:r>
            <w:r w:rsidRPr="00E24454">
              <w:rPr>
                <w:color w:val="000000" w:themeColor="text1"/>
              </w:rPr>
              <w:t>Spencer, 2006</w:t>
            </w:r>
            <w:r>
              <w:rPr>
                <w:color w:val="000000" w:themeColor="text1"/>
              </w:rPr>
              <w:t>, p. 696</w:t>
            </w:r>
            <w:r w:rsidRPr="00E24454">
              <w:rPr>
                <w:color w:val="000000" w:themeColor="text1"/>
              </w:rPr>
              <w:t>).</w:t>
            </w:r>
          </w:p>
          <w:p w14:paraId="3735CC45" w14:textId="77777777" w:rsidR="00C66E25" w:rsidRDefault="00C66E25"/>
        </w:tc>
        <w:tc>
          <w:tcPr>
            <w:tcW w:w="2590" w:type="dxa"/>
          </w:tcPr>
          <w:p w14:paraId="037BACA8" w14:textId="77777777" w:rsidR="008556CB" w:rsidRDefault="008556CB" w:rsidP="008556CB">
            <w:pPr>
              <w:rPr>
                <w:color w:val="000000" w:themeColor="text1"/>
              </w:rPr>
            </w:pPr>
            <w:r>
              <w:t xml:space="preserve">Socially constructed environments are communicated both formally, through language and social-cultural traditions, as well as informally, and require constant processing and interpretation </w:t>
            </w:r>
            <w:r>
              <w:rPr>
                <w:color w:val="000000" w:themeColor="text1"/>
              </w:rPr>
              <w:t>(</w:t>
            </w:r>
            <w:r w:rsidRPr="00E24454">
              <w:rPr>
                <w:color w:val="000000" w:themeColor="text1"/>
              </w:rPr>
              <w:t>Spencer, 2006</w:t>
            </w:r>
            <w:r>
              <w:rPr>
                <w:color w:val="000000" w:themeColor="text1"/>
              </w:rPr>
              <w:t>, p. 696</w:t>
            </w:r>
            <w:r w:rsidRPr="00E24454">
              <w:rPr>
                <w:color w:val="000000" w:themeColor="text1"/>
              </w:rPr>
              <w:t>).</w:t>
            </w:r>
          </w:p>
          <w:p w14:paraId="25EA3B00" w14:textId="77777777" w:rsidR="00C66E25" w:rsidRDefault="00C66E25"/>
        </w:tc>
        <w:tc>
          <w:tcPr>
            <w:tcW w:w="2590" w:type="dxa"/>
          </w:tcPr>
          <w:p w14:paraId="3295EFEA" w14:textId="77777777" w:rsidR="008556CB" w:rsidRDefault="008556CB" w:rsidP="008556CB">
            <w:pPr>
              <w:rPr>
                <w:color w:val="000000" w:themeColor="text1"/>
              </w:rPr>
            </w:pPr>
            <w:r>
              <w:rPr>
                <w:color w:val="000000" w:themeColor="text1"/>
              </w:rPr>
              <w:t>The meanings construed have important implications for actions since individuals perceive and act on their perceptions (</w:t>
            </w:r>
            <w:r w:rsidRPr="00E24454">
              <w:rPr>
                <w:color w:val="000000" w:themeColor="text1"/>
              </w:rPr>
              <w:t>Spencer, 2006</w:t>
            </w:r>
            <w:r>
              <w:rPr>
                <w:color w:val="000000" w:themeColor="text1"/>
              </w:rPr>
              <w:t>, p. 696</w:t>
            </w:r>
            <w:r w:rsidRPr="00E24454">
              <w:rPr>
                <w:color w:val="000000" w:themeColor="text1"/>
              </w:rPr>
              <w:t>).</w:t>
            </w:r>
          </w:p>
          <w:p w14:paraId="25E630DD" w14:textId="77777777" w:rsidR="00C66E25" w:rsidRDefault="00C66E25"/>
        </w:tc>
      </w:tr>
      <w:tr w:rsidR="008556CB" w14:paraId="32985F88" w14:textId="77777777" w:rsidTr="00C66E25">
        <w:tc>
          <w:tcPr>
            <w:tcW w:w="2590" w:type="dxa"/>
          </w:tcPr>
          <w:p w14:paraId="1A95B422" w14:textId="77777777" w:rsidR="008556CB" w:rsidRDefault="008556CB" w:rsidP="008556CB">
            <w:pPr>
              <w:rPr>
                <w:color w:val="000000" w:themeColor="text1"/>
              </w:rPr>
            </w:pPr>
            <w:r>
              <w:rPr>
                <w:color w:val="000000" w:themeColor="text1"/>
              </w:rPr>
              <w:t>Thus, “meaning making” is an ever-present aspect of the human development process, and as such, deserves to be unpacked and examined for fully grasping its relevance to life-course human development (</w:t>
            </w:r>
            <w:r w:rsidRPr="00E24454">
              <w:rPr>
                <w:color w:val="000000" w:themeColor="text1"/>
              </w:rPr>
              <w:t>Spencer, 2006</w:t>
            </w:r>
            <w:r>
              <w:rPr>
                <w:color w:val="000000" w:themeColor="text1"/>
              </w:rPr>
              <w:t>, p. 696</w:t>
            </w:r>
            <w:r w:rsidRPr="00E24454">
              <w:rPr>
                <w:color w:val="000000" w:themeColor="text1"/>
              </w:rPr>
              <w:t>).</w:t>
            </w:r>
          </w:p>
          <w:p w14:paraId="057F2AF1" w14:textId="77777777" w:rsidR="008556CB" w:rsidRDefault="008556CB" w:rsidP="008556CB">
            <w:pPr>
              <w:rPr>
                <w:color w:val="000000" w:themeColor="text1"/>
              </w:rPr>
            </w:pPr>
          </w:p>
        </w:tc>
        <w:tc>
          <w:tcPr>
            <w:tcW w:w="2590" w:type="dxa"/>
          </w:tcPr>
          <w:p w14:paraId="7B72E926" w14:textId="77777777" w:rsidR="008556CB" w:rsidRDefault="008556CB" w:rsidP="008556CB">
            <w:pPr>
              <w:rPr>
                <w:color w:val="000000" w:themeColor="text1"/>
              </w:rPr>
            </w:pPr>
            <w:r>
              <w:rPr>
                <w:color w:val="000000" w:themeColor="text1"/>
              </w:rPr>
              <w:t>Individuals come to understand and respond to their world through interactions with others, although it is not the interactions themselves that determine life outcomes but rather the meaning that individuals make from their social encounters (i.e. their perceptions) (</w:t>
            </w:r>
            <w:r w:rsidRPr="00E24454">
              <w:rPr>
                <w:color w:val="000000" w:themeColor="text1"/>
              </w:rPr>
              <w:t>Spencer, 2006</w:t>
            </w:r>
            <w:r>
              <w:rPr>
                <w:color w:val="000000" w:themeColor="text1"/>
              </w:rPr>
              <w:t>, p. 696</w:t>
            </w:r>
            <w:r w:rsidRPr="00E24454">
              <w:rPr>
                <w:color w:val="000000" w:themeColor="text1"/>
              </w:rPr>
              <w:t>).</w:t>
            </w:r>
          </w:p>
          <w:p w14:paraId="7A9F0ED4" w14:textId="77777777" w:rsidR="008556CB" w:rsidRDefault="008556CB" w:rsidP="008556CB">
            <w:pPr>
              <w:rPr>
                <w:color w:val="000000" w:themeColor="text1"/>
              </w:rPr>
            </w:pPr>
          </w:p>
        </w:tc>
        <w:tc>
          <w:tcPr>
            <w:tcW w:w="2590" w:type="dxa"/>
          </w:tcPr>
          <w:p w14:paraId="5DD6DB08" w14:textId="77777777" w:rsidR="008556CB" w:rsidRDefault="008556CB" w:rsidP="008556CB">
            <w:pPr>
              <w:rPr>
                <w:color w:val="000000" w:themeColor="text1"/>
              </w:rPr>
            </w:pPr>
            <w:r>
              <w:rPr>
                <w:color w:val="000000" w:themeColor="text1"/>
              </w:rPr>
              <w:t>Assumptions gleaned, inferences made, and subsequent coping patterns enacted result from the quality of fit between the individual and the diverse contexts encountered (</w:t>
            </w:r>
            <w:r w:rsidRPr="00E24454">
              <w:rPr>
                <w:color w:val="000000" w:themeColor="text1"/>
              </w:rPr>
              <w:t>Spencer, 2006</w:t>
            </w:r>
            <w:r>
              <w:rPr>
                <w:color w:val="000000" w:themeColor="text1"/>
              </w:rPr>
              <w:t>, p. 697</w:t>
            </w:r>
            <w:r w:rsidRPr="00E24454">
              <w:rPr>
                <w:color w:val="000000" w:themeColor="text1"/>
              </w:rPr>
              <w:t>).</w:t>
            </w:r>
          </w:p>
          <w:p w14:paraId="4308CC75" w14:textId="77777777" w:rsidR="008556CB" w:rsidRDefault="008556CB" w:rsidP="008556CB"/>
        </w:tc>
        <w:tc>
          <w:tcPr>
            <w:tcW w:w="2590" w:type="dxa"/>
          </w:tcPr>
          <w:p w14:paraId="2625F4A3" w14:textId="77777777" w:rsidR="008556CB" w:rsidRDefault="008556CB" w:rsidP="008556CB">
            <w:pPr>
              <w:rPr>
                <w:color w:val="000000" w:themeColor="text1"/>
              </w:rPr>
            </w:pPr>
            <w:r>
              <w:rPr>
                <w:color w:val="000000" w:themeColor="text1"/>
              </w:rPr>
              <w:t>It is these unavoidable and life-course processes that signal the need to combine fundamental human development thinking with basic phenomenological tenets and ecological perspectives (</w:t>
            </w:r>
            <w:r w:rsidRPr="00E24454">
              <w:rPr>
                <w:color w:val="000000" w:themeColor="text1"/>
              </w:rPr>
              <w:t>Spencer, 2006</w:t>
            </w:r>
            <w:r>
              <w:rPr>
                <w:color w:val="000000" w:themeColor="text1"/>
              </w:rPr>
              <w:t>, p. 697</w:t>
            </w:r>
            <w:r w:rsidRPr="00E24454">
              <w:rPr>
                <w:color w:val="000000" w:themeColor="text1"/>
              </w:rPr>
              <w:t>).</w:t>
            </w:r>
          </w:p>
          <w:p w14:paraId="43987EA5" w14:textId="77777777" w:rsidR="008556CB" w:rsidRDefault="008556CB" w:rsidP="008556CB"/>
        </w:tc>
        <w:tc>
          <w:tcPr>
            <w:tcW w:w="2590" w:type="dxa"/>
          </w:tcPr>
          <w:p w14:paraId="3301E3C0" w14:textId="77777777" w:rsidR="008556CB" w:rsidRDefault="008556CB" w:rsidP="008556CB">
            <w:pPr>
              <w:rPr>
                <w:color w:val="000000" w:themeColor="text1"/>
              </w:rPr>
            </w:pPr>
            <w:r>
              <w:rPr>
                <w:color w:val="000000" w:themeColor="text1"/>
              </w:rPr>
              <w:t>In other words, they infer meanings, engage in responsive coping processes, and construct both formal and informal “action plans” (</w:t>
            </w:r>
            <w:r w:rsidRPr="00E24454">
              <w:rPr>
                <w:color w:val="000000" w:themeColor="text1"/>
              </w:rPr>
              <w:t>Spencer, 2006</w:t>
            </w:r>
            <w:r>
              <w:rPr>
                <w:color w:val="000000" w:themeColor="text1"/>
              </w:rPr>
              <w:t>, p. 696-697</w:t>
            </w:r>
            <w:r w:rsidRPr="00E24454">
              <w:rPr>
                <w:color w:val="000000" w:themeColor="text1"/>
              </w:rPr>
              <w:t>).</w:t>
            </w:r>
          </w:p>
          <w:p w14:paraId="4C3F471F" w14:textId="77777777" w:rsidR="008556CB" w:rsidRDefault="008556CB"/>
        </w:tc>
      </w:tr>
      <w:tr w:rsidR="00C66E25" w14:paraId="7B7CC289" w14:textId="77777777" w:rsidTr="00C66E25">
        <w:tc>
          <w:tcPr>
            <w:tcW w:w="2590" w:type="dxa"/>
          </w:tcPr>
          <w:p w14:paraId="64B4260E" w14:textId="77777777" w:rsidR="008556CB" w:rsidRDefault="008556CB" w:rsidP="008556CB">
            <w:pPr>
              <w:rPr>
                <w:color w:val="000000" w:themeColor="text1"/>
              </w:rPr>
            </w:pPr>
            <w:r>
              <w:rPr>
                <w:color w:val="000000" w:themeColor="text1"/>
              </w:rPr>
              <w:lastRenderedPageBreak/>
              <w:t>From the beginning, life-course human development experiences are unavoidably shaped by both objective reality and perception (</w:t>
            </w:r>
            <w:r w:rsidRPr="00E24454">
              <w:rPr>
                <w:color w:val="000000" w:themeColor="text1"/>
              </w:rPr>
              <w:t>Spencer, 2006</w:t>
            </w:r>
            <w:r>
              <w:rPr>
                <w:color w:val="000000" w:themeColor="text1"/>
              </w:rPr>
              <w:t>, p. 696</w:t>
            </w:r>
            <w:r w:rsidRPr="00E24454">
              <w:rPr>
                <w:color w:val="000000" w:themeColor="text1"/>
              </w:rPr>
              <w:t>).</w:t>
            </w:r>
          </w:p>
          <w:p w14:paraId="4ECF1BAB" w14:textId="77777777" w:rsidR="00C66E25" w:rsidRDefault="00C66E25"/>
        </w:tc>
        <w:tc>
          <w:tcPr>
            <w:tcW w:w="2590" w:type="dxa"/>
          </w:tcPr>
          <w:p w14:paraId="0F2A329F" w14:textId="77777777" w:rsidR="008556CB" w:rsidRDefault="008556CB" w:rsidP="008556CB">
            <w:pPr>
              <w:rPr>
                <w:color w:val="000000" w:themeColor="text1"/>
              </w:rPr>
            </w:pPr>
            <w:r>
              <w:rPr>
                <w:color w:val="000000" w:themeColor="text1"/>
              </w:rPr>
              <w:t>The study of phenomenology has been around for centuries and embraced across continents, as any simple web search or dictionary exercise demonstrates (</w:t>
            </w:r>
            <w:r w:rsidRPr="00E24454">
              <w:rPr>
                <w:color w:val="000000" w:themeColor="text1"/>
              </w:rPr>
              <w:t>Spencer, 2006</w:t>
            </w:r>
            <w:r>
              <w:rPr>
                <w:color w:val="000000" w:themeColor="text1"/>
              </w:rPr>
              <w:t>, p. 697</w:t>
            </w:r>
            <w:r w:rsidRPr="00E24454">
              <w:rPr>
                <w:color w:val="000000" w:themeColor="text1"/>
              </w:rPr>
              <w:t>).</w:t>
            </w:r>
          </w:p>
          <w:p w14:paraId="7A655EE9" w14:textId="77777777" w:rsidR="00C66E25" w:rsidRDefault="00C66E25"/>
        </w:tc>
        <w:tc>
          <w:tcPr>
            <w:tcW w:w="2590" w:type="dxa"/>
          </w:tcPr>
          <w:p w14:paraId="2571A6A9" w14:textId="77777777" w:rsidR="008556CB" w:rsidRDefault="008556CB" w:rsidP="008556CB">
            <w:pPr>
              <w:rPr>
                <w:color w:val="000000" w:themeColor="text1"/>
              </w:rPr>
            </w:pPr>
            <w:r>
              <w:rPr>
                <w:color w:val="000000" w:themeColor="text1"/>
              </w:rPr>
              <w:t xml:space="preserve">Social settings are important whether one most appreciates the individual-context interaction perspective offered by </w:t>
            </w:r>
            <w:r w:rsidRPr="0053288E">
              <w:rPr>
                <w:color w:val="000000" w:themeColor="text1"/>
                <w:highlight w:val="yellow"/>
              </w:rPr>
              <w:t>Bronfenbrenner’s</w:t>
            </w:r>
            <w:r>
              <w:rPr>
                <w:color w:val="000000" w:themeColor="text1"/>
              </w:rPr>
              <w:t xml:space="preserve"> ecological systems theory (1985) or the more basic view provided by the early ecological psychologists (e.g. </w:t>
            </w:r>
            <w:r w:rsidRPr="0053288E">
              <w:rPr>
                <w:color w:val="000000" w:themeColor="text1"/>
                <w:highlight w:val="yellow"/>
              </w:rPr>
              <w:t>Barker &amp; Wright, 1954</w:t>
            </w:r>
            <w:r>
              <w:rPr>
                <w:color w:val="000000" w:themeColor="text1"/>
              </w:rPr>
              <w:t>) who emphasized the character of settings (as cited by (</w:t>
            </w:r>
            <w:r w:rsidRPr="00E24454">
              <w:rPr>
                <w:color w:val="000000" w:themeColor="text1"/>
              </w:rPr>
              <w:t>Spencer, 2006</w:t>
            </w:r>
            <w:r>
              <w:rPr>
                <w:color w:val="000000" w:themeColor="text1"/>
              </w:rPr>
              <w:t>, p. 697-698</w:t>
            </w:r>
            <w:r w:rsidRPr="00E24454">
              <w:rPr>
                <w:color w:val="000000" w:themeColor="text1"/>
              </w:rPr>
              <w:t>).</w:t>
            </w:r>
          </w:p>
          <w:p w14:paraId="1DF71126" w14:textId="77777777" w:rsidR="00C66E25" w:rsidRDefault="00C66E25"/>
        </w:tc>
        <w:tc>
          <w:tcPr>
            <w:tcW w:w="2590" w:type="dxa"/>
          </w:tcPr>
          <w:p w14:paraId="4B099050" w14:textId="77777777" w:rsidR="008556CB" w:rsidRDefault="008556CB" w:rsidP="008556CB">
            <w:pPr>
              <w:rPr>
                <w:color w:val="000000" w:themeColor="text1"/>
              </w:rPr>
            </w:pPr>
            <w:r>
              <w:rPr>
                <w:color w:val="000000" w:themeColor="text1"/>
              </w:rPr>
              <w:t>This is noteworthy because categories describing human diversity often represent socially constructed meanings (</w:t>
            </w:r>
            <w:r w:rsidRPr="00E24454">
              <w:rPr>
                <w:color w:val="000000" w:themeColor="text1"/>
              </w:rPr>
              <w:t>Spencer, 2006</w:t>
            </w:r>
            <w:r>
              <w:rPr>
                <w:color w:val="000000" w:themeColor="text1"/>
              </w:rPr>
              <w:t>, p. 697</w:t>
            </w:r>
            <w:r w:rsidRPr="00E24454">
              <w:rPr>
                <w:color w:val="000000" w:themeColor="text1"/>
              </w:rPr>
              <w:t>).</w:t>
            </w:r>
          </w:p>
          <w:p w14:paraId="2A59A610" w14:textId="77777777" w:rsidR="00C66E25" w:rsidRDefault="00C66E25"/>
        </w:tc>
        <w:tc>
          <w:tcPr>
            <w:tcW w:w="2590" w:type="dxa"/>
          </w:tcPr>
          <w:p w14:paraId="766C7747" w14:textId="77777777" w:rsidR="008556CB" w:rsidRDefault="008556CB" w:rsidP="008556CB">
            <w:pPr>
              <w:rPr>
                <w:color w:val="000000" w:themeColor="text1"/>
              </w:rPr>
            </w:pPr>
            <w:r>
              <w:rPr>
                <w:color w:val="000000" w:themeColor="text1"/>
              </w:rPr>
              <w:t>These processes are unavoidably associated with emotions since human variability represents both successes and failures of human coping processes (</w:t>
            </w:r>
            <w:r w:rsidRPr="00E24454">
              <w:rPr>
                <w:color w:val="000000" w:themeColor="text1"/>
              </w:rPr>
              <w:t>Spencer, 2006</w:t>
            </w:r>
            <w:r>
              <w:rPr>
                <w:color w:val="000000" w:themeColor="text1"/>
              </w:rPr>
              <w:t>, p. 697</w:t>
            </w:r>
            <w:r w:rsidRPr="00E24454">
              <w:rPr>
                <w:color w:val="000000" w:themeColor="text1"/>
              </w:rPr>
              <w:t>).</w:t>
            </w:r>
          </w:p>
          <w:p w14:paraId="4C4483B0" w14:textId="77777777" w:rsidR="00C66E25" w:rsidRDefault="00C66E25"/>
        </w:tc>
      </w:tr>
      <w:tr w:rsidR="008556CB" w14:paraId="24DA67E8" w14:textId="77777777" w:rsidTr="00C66E25">
        <w:tc>
          <w:tcPr>
            <w:tcW w:w="2590" w:type="dxa"/>
          </w:tcPr>
          <w:p w14:paraId="7E149D15" w14:textId="77777777" w:rsidR="008556CB" w:rsidRDefault="008556CB" w:rsidP="008556CB">
            <w:pPr>
              <w:rPr>
                <w:color w:val="000000" w:themeColor="text1"/>
              </w:rPr>
            </w:pPr>
            <w:r>
              <w:rPr>
                <w:color w:val="000000" w:themeColor="text1"/>
              </w:rPr>
              <w:t xml:space="preserve">Thus, within the social contexts of development, the character of perceptions made, or meaning making inferred, contributes to the variability of human coping and identity formation outcomes as lives unfold across the </w:t>
            </w:r>
            <w:r>
              <w:rPr>
                <w:color w:val="000000" w:themeColor="text1"/>
              </w:rPr>
              <w:lastRenderedPageBreak/>
              <w:t>life course (</w:t>
            </w:r>
            <w:r w:rsidRPr="00E24454">
              <w:rPr>
                <w:color w:val="000000" w:themeColor="text1"/>
              </w:rPr>
              <w:t>Spencer, 2006</w:t>
            </w:r>
            <w:r>
              <w:rPr>
                <w:color w:val="000000" w:themeColor="text1"/>
              </w:rPr>
              <w:t>, p. 697</w:t>
            </w:r>
            <w:r w:rsidRPr="00E24454">
              <w:rPr>
                <w:color w:val="000000" w:themeColor="text1"/>
              </w:rPr>
              <w:t>).</w:t>
            </w:r>
          </w:p>
          <w:p w14:paraId="6E41AF73" w14:textId="77777777" w:rsidR="008556CB" w:rsidRDefault="008556CB"/>
        </w:tc>
        <w:tc>
          <w:tcPr>
            <w:tcW w:w="2590" w:type="dxa"/>
          </w:tcPr>
          <w:p w14:paraId="60E8824E" w14:textId="77777777" w:rsidR="008556CB" w:rsidRDefault="008556CB" w:rsidP="008556CB">
            <w:pPr>
              <w:rPr>
                <w:color w:val="000000" w:themeColor="text1"/>
              </w:rPr>
            </w:pPr>
            <w:r>
              <w:rPr>
                <w:color w:val="000000" w:themeColor="text1"/>
              </w:rPr>
              <w:lastRenderedPageBreak/>
              <w:t>It includes significant controversies around meanings and research applications across disciplines (</w:t>
            </w:r>
            <w:r w:rsidRPr="00E24454">
              <w:rPr>
                <w:color w:val="000000" w:themeColor="text1"/>
              </w:rPr>
              <w:t>Spencer, 2006</w:t>
            </w:r>
            <w:r>
              <w:rPr>
                <w:color w:val="000000" w:themeColor="text1"/>
              </w:rPr>
              <w:t>, p. 697</w:t>
            </w:r>
            <w:r w:rsidRPr="00E24454">
              <w:rPr>
                <w:color w:val="000000" w:themeColor="text1"/>
              </w:rPr>
              <w:t>).</w:t>
            </w:r>
          </w:p>
          <w:p w14:paraId="68F4B906" w14:textId="77777777" w:rsidR="008556CB" w:rsidRDefault="008556CB"/>
        </w:tc>
        <w:tc>
          <w:tcPr>
            <w:tcW w:w="2590" w:type="dxa"/>
          </w:tcPr>
          <w:p w14:paraId="0B053041" w14:textId="77777777" w:rsidR="008556CB" w:rsidRDefault="008556CB" w:rsidP="008556CB">
            <w:pPr>
              <w:rPr>
                <w:color w:val="000000" w:themeColor="text1"/>
              </w:rPr>
            </w:pPr>
            <w:r>
              <w:rPr>
                <w:color w:val="000000" w:themeColor="text1"/>
              </w:rPr>
              <w:t>It is unavoidable, then, that individuals have experiences, perceptions, and coping processes that represent active meaning making as a function of the quality of individual-context interactions (</w:t>
            </w:r>
            <w:r w:rsidRPr="00E24454">
              <w:rPr>
                <w:color w:val="000000" w:themeColor="text1"/>
              </w:rPr>
              <w:t>Spencer, 2006</w:t>
            </w:r>
            <w:r>
              <w:rPr>
                <w:color w:val="000000" w:themeColor="text1"/>
              </w:rPr>
              <w:t>, p. 698</w:t>
            </w:r>
            <w:r w:rsidRPr="00E24454">
              <w:rPr>
                <w:color w:val="000000" w:themeColor="text1"/>
              </w:rPr>
              <w:t>).</w:t>
            </w:r>
          </w:p>
          <w:p w14:paraId="0F6B0AE7" w14:textId="77777777" w:rsidR="008556CB" w:rsidRDefault="008556CB"/>
        </w:tc>
        <w:tc>
          <w:tcPr>
            <w:tcW w:w="2590" w:type="dxa"/>
          </w:tcPr>
          <w:p w14:paraId="01A6BFE8" w14:textId="77777777" w:rsidR="008556CB" w:rsidRDefault="008556CB" w:rsidP="008556CB">
            <w:pPr>
              <w:rPr>
                <w:color w:val="000000" w:themeColor="text1"/>
              </w:rPr>
            </w:pPr>
            <w:r>
              <w:rPr>
                <w:color w:val="000000" w:themeColor="text1"/>
              </w:rPr>
              <w:t xml:space="preserve">And, due to the social construction of race-defined (and still salient!) social groupings, the framework is helpful because it provides a way to interpret and understand how behavioral outcomes and coping strategies are linked to the social </w:t>
            </w:r>
            <w:r>
              <w:rPr>
                <w:color w:val="000000" w:themeColor="text1"/>
              </w:rPr>
              <w:lastRenderedPageBreak/>
              <w:t>experiences and meaning making processes of humans given their inter-subjective and relevant encounters with others (</w:t>
            </w:r>
            <w:r w:rsidRPr="00E24454">
              <w:rPr>
                <w:color w:val="000000" w:themeColor="text1"/>
              </w:rPr>
              <w:t>Spencer, 2006</w:t>
            </w:r>
            <w:r>
              <w:rPr>
                <w:color w:val="000000" w:themeColor="text1"/>
              </w:rPr>
              <w:t>, p. 697</w:t>
            </w:r>
            <w:r w:rsidRPr="00E24454">
              <w:rPr>
                <w:color w:val="000000" w:themeColor="text1"/>
              </w:rPr>
              <w:t>).</w:t>
            </w:r>
          </w:p>
          <w:p w14:paraId="188DECBA" w14:textId="77777777" w:rsidR="008556CB" w:rsidRDefault="008556CB"/>
        </w:tc>
        <w:tc>
          <w:tcPr>
            <w:tcW w:w="2590" w:type="dxa"/>
          </w:tcPr>
          <w:p w14:paraId="755FFF7D" w14:textId="77777777" w:rsidR="008556CB" w:rsidRDefault="008556CB" w:rsidP="008556CB">
            <w:pPr>
              <w:rPr>
                <w:color w:val="000000" w:themeColor="text1"/>
              </w:rPr>
            </w:pPr>
            <w:r>
              <w:rPr>
                <w:color w:val="000000" w:themeColor="text1"/>
              </w:rPr>
              <w:lastRenderedPageBreak/>
              <w:t>A synthesis by Wilson (2002) posits that phenomenology is a branch of philosophy that attempts to understand how individuals make meaning from their diverse experiences (</w:t>
            </w:r>
            <w:r w:rsidRPr="00E24454">
              <w:rPr>
                <w:color w:val="000000" w:themeColor="text1"/>
              </w:rPr>
              <w:t>Spencer, 2006</w:t>
            </w:r>
            <w:r>
              <w:rPr>
                <w:color w:val="000000" w:themeColor="text1"/>
              </w:rPr>
              <w:t>, p. 697</w:t>
            </w:r>
            <w:r w:rsidRPr="00E24454">
              <w:rPr>
                <w:color w:val="000000" w:themeColor="text1"/>
              </w:rPr>
              <w:t>).</w:t>
            </w:r>
          </w:p>
          <w:p w14:paraId="17BF66E0" w14:textId="77777777" w:rsidR="008556CB" w:rsidRDefault="008556CB"/>
        </w:tc>
      </w:tr>
      <w:tr w:rsidR="008556CB" w14:paraId="22C8BA49" w14:textId="77777777" w:rsidTr="00C66E25">
        <w:tc>
          <w:tcPr>
            <w:tcW w:w="2590" w:type="dxa"/>
          </w:tcPr>
          <w:p w14:paraId="24C4F49B" w14:textId="77777777" w:rsidR="008556CB" w:rsidRDefault="008556CB" w:rsidP="008556CB">
            <w:pPr>
              <w:rPr>
                <w:color w:val="000000" w:themeColor="text1"/>
              </w:rPr>
            </w:pPr>
            <w:r>
              <w:rPr>
                <w:color w:val="000000" w:themeColor="text1"/>
              </w:rPr>
              <w:t>A basic role taking or social cognition perspective assumes that perceptual processes begin at birth and gain acuity across the life course due to problem-solving of progressively complex sets of social experiences (e.g. maturation dependent cognitive processes contribute to a growing awareness of different perspectives or points of view) (</w:t>
            </w:r>
            <w:r w:rsidRPr="00E24454">
              <w:rPr>
                <w:color w:val="000000" w:themeColor="text1"/>
              </w:rPr>
              <w:t>Spencer, 2006</w:t>
            </w:r>
            <w:r>
              <w:rPr>
                <w:color w:val="000000" w:themeColor="text1"/>
              </w:rPr>
              <w:t>, p. 697</w:t>
            </w:r>
            <w:r w:rsidRPr="00E24454">
              <w:rPr>
                <w:color w:val="000000" w:themeColor="text1"/>
              </w:rPr>
              <w:t>).</w:t>
            </w:r>
          </w:p>
          <w:p w14:paraId="0047D85E" w14:textId="77777777" w:rsidR="008556CB" w:rsidRDefault="008556CB" w:rsidP="008556CB">
            <w:pPr>
              <w:rPr>
                <w:color w:val="000000" w:themeColor="text1"/>
              </w:rPr>
            </w:pPr>
          </w:p>
        </w:tc>
        <w:tc>
          <w:tcPr>
            <w:tcW w:w="2590" w:type="dxa"/>
          </w:tcPr>
          <w:p w14:paraId="0709B69F" w14:textId="77777777" w:rsidR="008556CB" w:rsidRDefault="008556CB" w:rsidP="008556CB">
            <w:pPr>
              <w:rPr>
                <w:color w:val="000000" w:themeColor="text1"/>
              </w:rPr>
            </w:pPr>
            <w:r>
              <w:rPr>
                <w:color w:val="000000" w:themeColor="text1"/>
              </w:rPr>
              <w:t>Thus, an individual’s perceptions about settings and their experiences in them matter (</w:t>
            </w:r>
            <w:r w:rsidRPr="00E24454">
              <w:rPr>
                <w:color w:val="000000" w:themeColor="text1"/>
              </w:rPr>
              <w:t>Spencer, 2006</w:t>
            </w:r>
            <w:r>
              <w:rPr>
                <w:color w:val="000000" w:themeColor="text1"/>
              </w:rPr>
              <w:t>, p. 697</w:t>
            </w:r>
            <w:r w:rsidRPr="00E24454">
              <w:rPr>
                <w:color w:val="000000" w:themeColor="text1"/>
              </w:rPr>
              <w:t>).</w:t>
            </w:r>
          </w:p>
          <w:p w14:paraId="5F44503C" w14:textId="77777777" w:rsidR="008556CB" w:rsidRDefault="008556CB" w:rsidP="008556CB">
            <w:pPr>
              <w:rPr>
                <w:color w:val="000000" w:themeColor="text1"/>
              </w:rPr>
            </w:pPr>
          </w:p>
        </w:tc>
        <w:tc>
          <w:tcPr>
            <w:tcW w:w="2590" w:type="dxa"/>
          </w:tcPr>
          <w:p w14:paraId="192CDDF0" w14:textId="77777777" w:rsidR="008556CB" w:rsidRDefault="008556CB" w:rsidP="008556CB">
            <w:pPr>
              <w:rPr>
                <w:color w:val="000000" w:themeColor="text1"/>
              </w:rPr>
            </w:pPr>
            <w:r>
              <w:rPr>
                <w:color w:val="000000" w:themeColor="text1"/>
              </w:rPr>
              <w:t>PVEST encourages the critical analysis of human development processes that unfold in multilevel contexts over time (</w:t>
            </w:r>
            <w:r w:rsidRPr="00E24454">
              <w:rPr>
                <w:color w:val="000000" w:themeColor="text1"/>
              </w:rPr>
              <w:t>Spencer, 2006</w:t>
            </w:r>
            <w:r>
              <w:rPr>
                <w:color w:val="000000" w:themeColor="text1"/>
              </w:rPr>
              <w:t>, p. 698</w:t>
            </w:r>
            <w:r w:rsidRPr="00E24454">
              <w:rPr>
                <w:color w:val="000000" w:themeColor="text1"/>
              </w:rPr>
              <w:t>).</w:t>
            </w:r>
          </w:p>
          <w:p w14:paraId="5AC6EF94" w14:textId="77777777" w:rsidR="008556CB" w:rsidRDefault="008556CB"/>
        </w:tc>
        <w:tc>
          <w:tcPr>
            <w:tcW w:w="2590" w:type="dxa"/>
          </w:tcPr>
          <w:p w14:paraId="1CE1EA91" w14:textId="77777777" w:rsidR="008556CB" w:rsidRDefault="008556CB" w:rsidP="008556CB">
            <w:pPr>
              <w:rPr>
                <w:color w:val="000000" w:themeColor="text1"/>
              </w:rPr>
            </w:pPr>
          </w:p>
        </w:tc>
        <w:tc>
          <w:tcPr>
            <w:tcW w:w="2590" w:type="dxa"/>
          </w:tcPr>
          <w:p w14:paraId="21F08270" w14:textId="77777777" w:rsidR="008556CB" w:rsidRDefault="008556CB" w:rsidP="008556CB">
            <w:pPr>
              <w:rPr>
                <w:color w:val="000000" w:themeColor="text1"/>
              </w:rPr>
            </w:pPr>
          </w:p>
        </w:tc>
      </w:tr>
      <w:tr w:rsidR="008556CB" w14:paraId="71D739C7" w14:textId="77777777" w:rsidTr="00C66E25">
        <w:tc>
          <w:tcPr>
            <w:tcW w:w="2590" w:type="dxa"/>
          </w:tcPr>
          <w:p w14:paraId="73EAB101" w14:textId="77777777" w:rsidR="008556CB" w:rsidRDefault="008556CB"/>
        </w:tc>
        <w:tc>
          <w:tcPr>
            <w:tcW w:w="2590" w:type="dxa"/>
          </w:tcPr>
          <w:p w14:paraId="1376E92F" w14:textId="77777777" w:rsidR="008556CB" w:rsidRDefault="008556CB" w:rsidP="008556CB">
            <w:pPr>
              <w:rPr>
                <w:color w:val="000000" w:themeColor="text1"/>
              </w:rPr>
            </w:pPr>
            <w:r>
              <w:rPr>
                <w:color w:val="000000" w:themeColor="text1"/>
              </w:rPr>
              <w:t xml:space="preserve">However, as used here and synthesized from a broad array of philosophers and </w:t>
            </w:r>
            <w:r>
              <w:rPr>
                <w:color w:val="000000" w:themeColor="text1"/>
              </w:rPr>
              <w:lastRenderedPageBreak/>
              <w:t>translations, phenomenology is conceived as the study of “phenomena” – literally, appearances as opposed to reality (</w:t>
            </w:r>
            <w:r w:rsidRPr="00E24454">
              <w:rPr>
                <w:color w:val="000000" w:themeColor="text1"/>
              </w:rPr>
              <w:t>Spencer, 2006</w:t>
            </w:r>
            <w:r>
              <w:rPr>
                <w:color w:val="000000" w:themeColor="text1"/>
              </w:rPr>
              <w:t>, p. 697</w:t>
            </w:r>
            <w:r w:rsidRPr="00E24454">
              <w:rPr>
                <w:color w:val="000000" w:themeColor="text1"/>
              </w:rPr>
              <w:t>).</w:t>
            </w:r>
          </w:p>
          <w:p w14:paraId="0D957165" w14:textId="77777777" w:rsidR="008556CB" w:rsidRDefault="008556CB"/>
        </w:tc>
        <w:tc>
          <w:tcPr>
            <w:tcW w:w="2590" w:type="dxa"/>
          </w:tcPr>
          <w:p w14:paraId="3866EC23" w14:textId="77777777" w:rsidR="008556CB" w:rsidRDefault="008556CB" w:rsidP="008556CB">
            <w:pPr>
              <w:rPr>
                <w:color w:val="000000" w:themeColor="text1"/>
              </w:rPr>
            </w:pPr>
            <w:r>
              <w:rPr>
                <w:color w:val="000000" w:themeColor="text1"/>
              </w:rPr>
              <w:lastRenderedPageBreak/>
              <w:t xml:space="preserve">Additionally, social inequalities that may impact context experiences are not </w:t>
            </w:r>
            <w:r>
              <w:rPr>
                <w:color w:val="000000" w:themeColor="text1"/>
              </w:rPr>
              <w:lastRenderedPageBreak/>
              <w:t>only seen as a potential category of risk but also as a source of daily challenge (</w:t>
            </w:r>
            <w:r w:rsidRPr="00E24454">
              <w:rPr>
                <w:color w:val="000000" w:themeColor="text1"/>
              </w:rPr>
              <w:t>Spencer, 2006</w:t>
            </w:r>
            <w:r>
              <w:rPr>
                <w:color w:val="000000" w:themeColor="text1"/>
              </w:rPr>
              <w:t>, p. 698</w:t>
            </w:r>
            <w:r w:rsidRPr="00E24454">
              <w:rPr>
                <w:color w:val="000000" w:themeColor="text1"/>
              </w:rPr>
              <w:t>).</w:t>
            </w:r>
          </w:p>
          <w:p w14:paraId="392BF740" w14:textId="77777777" w:rsidR="008556CB" w:rsidRDefault="008556CB"/>
        </w:tc>
        <w:tc>
          <w:tcPr>
            <w:tcW w:w="2590" w:type="dxa"/>
          </w:tcPr>
          <w:p w14:paraId="66B917A2" w14:textId="77777777" w:rsidR="008556CB" w:rsidRDefault="008556CB"/>
        </w:tc>
        <w:tc>
          <w:tcPr>
            <w:tcW w:w="2590" w:type="dxa"/>
          </w:tcPr>
          <w:p w14:paraId="372E8B5F" w14:textId="77777777" w:rsidR="008556CB" w:rsidRDefault="008556CB" w:rsidP="008556CB">
            <w:pPr>
              <w:rPr>
                <w:color w:val="000000" w:themeColor="text1"/>
              </w:rPr>
            </w:pPr>
            <w:r>
              <w:rPr>
                <w:color w:val="000000" w:themeColor="text1"/>
              </w:rPr>
              <w:t xml:space="preserve">A fundamental component includes the concept intersubjectivity, which </w:t>
            </w:r>
            <w:r>
              <w:rPr>
                <w:color w:val="000000" w:themeColor="text1"/>
              </w:rPr>
              <w:lastRenderedPageBreak/>
              <w:t>suggests that we experience the world with and through others (</w:t>
            </w:r>
            <w:r w:rsidRPr="00E24454">
              <w:rPr>
                <w:color w:val="000000" w:themeColor="text1"/>
              </w:rPr>
              <w:t>Spencer, 2006</w:t>
            </w:r>
            <w:r>
              <w:rPr>
                <w:color w:val="000000" w:themeColor="text1"/>
              </w:rPr>
              <w:t>, p. 697</w:t>
            </w:r>
            <w:r w:rsidRPr="00E24454">
              <w:rPr>
                <w:color w:val="000000" w:themeColor="text1"/>
              </w:rPr>
              <w:t>).</w:t>
            </w:r>
          </w:p>
          <w:p w14:paraId="65CC8355" w14:textId="77777777" w:rsidR="008556CB" w:rsidRDefault="008556CB"/>
        </w:tc>
      </w:tr>
      <w:tr w:rsidR="008556CB" w14:paraId="1039160B" w14:textId="77777777" w:rsidTr="00C66E25">
        <w:tc>
          <w:tcPr>
            <w:tcW w:w="2590" w:type="dxa"/>
          </w:tcPr>
          <w:p w14:paraId="1B201E5E" w14:textId="77777777" w:rsidR="008556CB" w:rsidRDefault="008556CB"/>
        </w:tc>
        <w:tc>
          <w:tcPr>
            <w:tcW w:w="2590" w:type="dxa"/>
          </w:tcPr>
          <w:p w14:paraId="6C3F505F" w14:textId="77777777" w:rsidR="008556CB" w:rsidRDefault="008556CB" w:rsidP="008556CB">
            <w:pPr>
              <w:rPr>
                <w:color w:val="000000" w:themeColor="text1"/>
              </w:rPr>
            </w:pPr>
            <w:r>
              <w:rPr>
                <w:color w:val="000000" w:themeColor="text1"/>
              </w:rPr>
              <w:t>PVEST combines social cognition relevant phenomenology themes with ecological systems theory to provide a heuristic device for understanding the unique experiences of diverse group members as had at varying developmental periods (</w:t>
            </w:r>
            <w:r w:rsidRPr="00E24454">
              <w:rPr>
                <w:color w:val="000000" w:themeColor="text1"/>
              </w:rPr>
              <w:t>Spencer, 2006</w:t>
            </w:r>
            <w:r>
              <w:rPr>
                <w:color w:val="000000" w:themeColor="text1"/>
              </w:rPr>
              <w:t>, p. 698</w:t>
            </w:r>
            <w:r w:rsidRPr="00E24454">
              <w:rPr>
                <w:color w:val="000000" w:themeColor="text1"/>
              </w:rPr>
              <w:t>).</w:t>
            </w:r>
          </w:p>
          <w:p w14:paraId="3A39CF3F" w14:textId="77777777" w:rsidR="008556CB" w:rsidRDefault="008556CB" w:rsidP="008556CB">
            <w:pPr>
              <w:rPr>
                <w:color w:val="000000" w:themeColor="text1"/>
              </w:rPr>
            </w:pPr>
          </w:p>
        </w:tc>
        <w:tc>
          <w:tcPr>
            <w:tcW w:w="2590" w:type="dxa"/>
          </w:tcPr>
          <w:p w14:paraId="56D06838" w14:textId="77777777" w:rsidR="008556CB" w:rsidRDefault="008556CB"/>
        </w:tc>
        <w:tc>
          <w:tcPr>
            <w:tcW w:w="2590" w:type="dxa"/>
          </w:tcPr>
          <w:p w14:paraId="143B1F5D" w14:textId="77777777" w:rsidR="008556CB" w:rsidRDefault="008556CB"/>
        </w:tc>
        <w:tc>
          <w:tcPr>
            <w:tcW w:w="2590" w:type="dxa"/>
          </w:tcPr>
          <w:p w14:paraId="790F56A5" w14:textId="77777777" w:rsidR="008556CB" w:rsidRDefault="008556CB" w:rsidP="008556CB">
            <w:pPr>
              <w:rPr>
                <w:color w:val="000000" w:themeColor="text1"/>
              </w:rPr>
            </w:pPr>
            <w:r>
              <w:rPr>
                <w:color w:val="000000" w:themeColor="text1"/>
              </w:rPr>
              <w:t>Given the significant role of cognition, affect and biology in the social interactions and interpersonal experiences of human, phenomenology communicates important opportunities for understanding differences in human “meaning making” as lives open up across the life course (</w:t>
            </w:r>
            <w:r w:rsidRPr="00E24454">
              <w:rPr>
                <w:color w:val="000000" w:themeColor="text1"/>
              </w:rPr>
              <w:t>Spencer, 2006</w:t>
            </w:r>
            <w:r>
              <w:rPr>
                <w:color w:val="000000" w:themeColor="text1"/>
              </w:rPr>
              <w:t>, p. 697</w:t>
            </w:r>
            <w:r w:rsidRPr="00E24454">
              <w:rPr>
                <w:color w:val="000000" w:themeColor="text1"/>
              </w:rPr>
              <w:t>).</w:t>
            </w:r>
          </w:p>
          <w:p w14:paraId="3B2EDF4B" w14:textId="77777777" w:rsidR="008556CB" w:rsidRDefault="008556CB" w:rsidP="008556CB">
            <w:pPr>
              <w:rPr>
                <w:color w:val="000000" w:themeColor="text1"/>
              </w:rPr>
            </w:pPr>
          </w:p>
        </w:tc>
      </w:tr>
      <w:tr w:rsidR="008556CB" w14:paraId="6008A5CB" w14:textId="77777777" w:rsidTr="00C66E25">
        <w:tc>
          <w:tcPr>
            <w:tcW w:w="2590" w:type="dxa"/>
          </w:tcPr>
          <w:p w14:paraId="3522C8C4" w14:textId="77777777" w:rsidR="008556CB" w:rsidRDefault="008556CB"/>
        </w:tc>
        <w:tc>
          <w:tcPr>
            <w:tcW w:w="2590" w:type="dxa"/>
          </w:tcPr>
          <w:p w14:paraId="127CD4AF" w14:textId="77777777" w:rsidR="008556CB" w:rsidRDefault="008556CB" w:rsidP="008556CB">
            <w:pPr>
              <w:rPr>
                <w:color w:val="000000" w:themeColor="text1"/>
              </w:rPr>
            </w:pPr>
          </w:p>
        </w:tc>
        <w:tc>
          <w:tcPr>
            <w:tcW w:w="2590" w:type="dxa"/>
          </w:tcPr>
          <w:p w14:paraId="59F7EA01" w14:textId="77777777" w:rsidR="008556CB" w:rsidRDefault="008556CB"/>
        </w:tc>
        <w:tc>
          <w:tcPr>
            <w:tcW w:w="2590" w:type="dxa"/>
          </w:tcPr>
          <w:p w14:paraId="16D91D8E" w14:textId="77777777" w:rsidR="008556CB" w:rsidRDefault="008556CB"/>
        </w:tc>
        <w:tc>
          <w:tcPr>
            <w:tcW w:w="2590" w:type="dxa"/>
          </w:tcPr>
          <w:p w14:paraId="46CD40A0" w14:textId="77777777" w:rsidR="008556CB" w:rsidRDefault="008556CB" w:rsidP="008556CB">
            <w:pPr>
              <w:rPr>
                <w:color w:val="000000" w:themeColor="text1"/>
              </w:rPr>
            </w:pPr>
            <w:r>
              <w:rPr>
                <w:color w:val="000000" w:themeColor="text1"/>
              </w:rPr>
              <w:t xml:space="preserve">Human perception is important, and, whether taking a basic social cognitive perspective (e.g. Flavell, 1968) or a traditional phenomenology point </w:t>
            </w:r>
            <w:r>
              <w:rPr>
                <w:color w:val="000000" w:themeColor="text1"/>
              </w:rPr>
              <w:lastRenderedPageBreak/>
              <w:t>of view (e.g. see Rogers &amp; Kelly as reviewed in Schultz, 1976), individual-context interactions matter (</w:t>
            </w:r>
            <w:r w:rsidRPr="00E24454">
              <w:rPr>
                <w:color w:val="000000" w:themeColor="text1"/>
              </w:rPr>
              <w:t>Spencer, 2006</w:t>
            </w:r>
            <w:r>
              <w:rPr>
                <w:color w:val="000000" w:themeColor="text1"/>
              </w:rPr>
              <w:t>, p. 697</w:t>
            </w:r>
            <w:r w:rsidRPr="00E24454">
              <w:rPr>
                <w:color w:val="000000" w:themeColor="text1"/>
              </w:rPr>
              <w:t>).</w:t>
            </w:r>
          </w:p>
          <w:p w14:paraId="224F875C" w14:textId="77777777" w:rsidR="008556CB" w:rsidRDefault="008556CB" w:rsidP="008556CB">
            <w:pPr>
              <w:rPr>
                <w:color w:val="000000" w:themeColor="text1"/>
              </w:rPr>
            </w:pPr>
          </w:p>
        </w:tc>
      </w:tr>
      <w:tr w:rsidR="008556CB" w14:paraId="18A80A0C" w14:textId="77777777" w:rsidTr="00C66E25">
        <w:tc>
          <w:tcPr>
            <w:tcW w:w="2590" w:type="dxa"/>
          </w:tcPr>
          <w:p w14:paraId="26EF24F9" w14:textId="77777777" w:rsidR="008556CB" w:rsidRDefault="008556CB"/>
        </w:tc>
        <w:tc>
          <w:tcPr>
            <w:tcW w:w="2590" w:type="dxa"/>
          </w:tcPr>
          <w:p w14:paraId="3F6A19CE" w14:textId="77777777" w:rsidR="008556CB" w:rsidRDefault="008556CB" w:rsidP="008556CB">
            <w:pPr>
              <w:rPr>
                <w:color w:val="000000" w:themeColor="text1"/>
              </w:rPr>
            </w:pPr>
          </w:p>
        </w:tc>
        <w:tc>
          <w:tcPr>
            <w:tcW w:w="2590" w:type="dxa"/>
          </w:tcPr>
          <w:p w14:paraId="646CDA43" w14:textId="77777777" w:rsidR="008556CB" w:rsidRDefault="008556CB"/>
        </w:tc>
        <w:tc>
          <w:tcPr>
            <w:tcW w:w="2590" w:type="dxa"/>
          </w:tcPr>
          <w:p w14:paraId="3EFE21CB" w14:textId="77777777" w:rsidR="008556CB" w:rsidRDefault="008556CB"/>
        </w:tc>
        <w:tc>
          <w:tcPr>
            <w:tcW w:w="2590" w:type="dxa"/>
          </w:tcPr>
          <w:p w14:paraId="019629EE" w14:textId="77777777" w:rsidR="008556CB" w:rsidRDefault="008556CB" w:rsidP="008556CB">
            <w:pPr>
              <w:rPr>
                <w:color w:val="000000" w:themeColor="text1"/>
              </w:rPr>
            </w:pPr>
            <w:r>
              <w:rPr>
                <w:color w:val="000000" w:themeColor="text1"/>
              </w:rPr>
              <w:t>Sociologists might label the phenomenon ‘role enactment’ while psychologies might discuss social perspective taking (</w:t>
            </w:r>
            <w:r w:rsidRPr="00E24454">
              <w:rPr>
                <w:color w:val="000000" w:themeColor="text1"/>
              </w:rPr>
              <w:t>Spencer, 2006</w:t>
            </w:r>
            <w:r>
              <w:rPr>
                <w:color w:val="000000" w:themeColor="text1"/>
              </w:rPr>
              <w:t>, p. 697</w:t>
            </w:r>
            <w:r w:rsidRPr="00E24454">
              <w:rPr>
                <w:color w:val="000000" w:themeColor="text1"/>
              </w:rPr>
              <w:t>).</w:t>
            </w:r>
          </w:p>
          <w:p w14:paraId="36634057" w14:textId="77777777" w:rsidR="008556CB" w:rsidRDefault="008556CB" w:rsidP="008556CB">
            <w:pPr>
              <w:rPr>
                <w:color w:val="000000" w:themeColor="text1"/>
              </w:rPr>
            </w:pPr>
          </w:p>
        </w:tc>
      </w:tr>
      <w:tr w:rsidR="008556CB" w14:paraId="3C74C151" w14:textId="77777777" w:rsidTr="00C66E25">
        <w:tc>
          <w:tcPr>
            <w:tcW w:w="2590" w:type="dxa"/>
          </w:tcPr>
          <w:p w14:paraId="6B1CB114" w14:textId="77777777" w:rsidR="008556CB" w:rsidRDefault="008556CB"/>
        </w:tc>
        <w:tc>
          <w:tcPr>
            <w:tcW w:w="2590" w:type="dxa"/>
          </w:tcPr>
          <w:p w14:paraId="46C23431" w14:textId="77777777" w:rsidR="008556CB" w:rsidRDefault="008556CB" w:rsidP="008556CB">
            <w:pPr>
              <w:rPr>
                <w:color w:val="000000" w:themeColor="text1"/>
              </w:rPr>
            </w:pPr>
          </w:p>
        </w:tc>
        <w:tc>
          <w:tcPr>
            <w:tcW w:w="2590" w:type="dxa"/>
          </w:tcPr>
          <w:p w14:paraId="2359133F" w14:textId="77777777" w:rsidR="008556CB" w:rsidRDefault="008556CB"/>
        </w:tc>
        <w:tc>
          <w:tcPr>
            <w:tcW w:w="2590" w:type="dxa"/>
          </w:tcPr>
          <w:p w14:paraId="2B440A64" w14:textId="77777777" w:rsidR="008556CB" w:rsidRDefault="008556CB"/>
        </w:tc>
        <w:tc>
          <w:tcPr>
            <w:tcW w:w="2590" w:type="dxa"/>
          </w:tcPr>
          <w:p w14:paraId="4F6910D3" w14:textId="77777777" w:rsidR="008556CB" w:rsidRDefault="008556CB" w:rsidP="008556CB">
            <w:pPr>
              <w:rPr>
                <w:color w:val="000000" w:themeColor="text1"/>
              </w:rPr>
            </w:pPr>
            <w:r>
              <w:rPr>
                <w:color w:val="000000" w:themeColor="text1"/>
              </w:rPr>
              <w:t xml:space="preserve">The basic notion from either a phenomenology or social cognition standpoint is that basic perceptual processes are active and contribute to how people “make sense” of situations and experiences as one negotiates progressively complex social interactions over time and place (i.e. their meaning making </w:t>
            </w:r>
            <w:r>
              <w:rPr>
                <w:color w:val="000000" w:themeColor="text1"/>
              </w:rPr>
              <w:lastRenderedPageBreak/>
              <w:t>processes) (</w:t>
            </w:r>
            <w:r w:rsidRPr="00E24454">
              <w:rPr>
                <w:color w:val="000000" w:themeColor="text1"/>
              </w:rPr>
              <w:t>Spencer, 2006</w:t>
            </w:r>
            <w:r>
              <w:rPr>
                <w:color w:val="000000" w:themeColor="text1"/>
              </w:rPr>
              <w:t>, p. 697</w:t>
            </w:r>
            <w:r w:rsidRPr="00E24454">
              <w:rPr>
                <w:color w:val="000000" w:themeColor="text1"/>
              </w:rPr>
              <w:t>).</w:t>
            </w:r>
          </w:p>
          <w:p w14:paraId="6C4F6223" w14:textId="77777777" w:rsidR="008556CB" w:rsidRDefault="008556CB" w:rsidP="008556CB">
            <w:pPr>
              <w:rPr>
                <w:color w:val="000000" w:themeColor="text1"/>
              </w:rPr>
            </w:pPr>
          </w:p>
        </w:tc>
      </w:tr>
    </w:tbl>
    <w:p w14:paraId="63ABE4AA" w14:textId="77777777" w:rsidR="00312E8B" w:rsidRDefault="007C563A"/>
    <w:sectPr w:rsidR="00312E8B" w:rsidSect="00C66E25">
      <w:headerReference w:type="default" r:id="rId6"/>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A05B8E" w14:textId="77777777" w:rsidR="007C563A" w:rsidRDefault="007C563A" w:rsidP="00C66E25">
      <w:r>
        <w:separator/>
      </w:r>
    </w:p>
  </w:endnote>
  <w:endnote w:type="continuationSeparator" w:id="0">
    <w:p w14:paraId="54607B39" w14:textId="77777777" w:rsidR="007C563A" w:rsidRDefault="007C563A" w:rsidP="00C66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81A6AC" w14:textId="77777777" w:rsidR="007C563A" w:rsidRDefault="007C563A" w:rsidP="00C66E25">
      <w:r>
        <w:separator/>
      </w:r>
    </w:p>
  </w:footnote>
  <w:footnote w:type="continuationSeparator" w:id="0">
    <w:p w14:paraId="0EB42070" w14:textId="77777777" w:rsidR="007C563A" w:rsidRDefault="007C563A" w:rsidP="00C66E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BBF0AA" w14:textId="5CFA8AEE" w:rsidR="00C66E25" w:rsidRDefault="00C66E25">
    <w:pPr>
      <w:pStyle w:val="Header"/>
    </w:pPr>
    <w:r w:rsidRPr="00E24454">
      <w:rPr>
        <w:color w:val="000000" w:themeColor="text1"/>
      </w:rPr>
      <w:t>Phenomenology and ecological systems theory</w:t>
    </w:r>
    <w:r>
      <w:rPr>
        <w:color w:val="000000" w:themeColor="text1"/>
      </w:rPr>
      <w:t>- Lit Review</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E25"/>
    <w:rsid w:val="001F223D"/>
    <w:rsid w:val="004761FC"/>
    <w:rsid w:val="007C563A"/>
    <w:rsid w:val="008556CB"/>
    <w:rsid w:val="0087393C"/>
    <w:rsid w:val="00B7049D"/>
    <w:rsid w:val="00BA3BDD"/>
    <w:rsid w:val="00C66E25"/>
    <w:rsid w:val="00DF0F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FD3D16C"/>
  <w14:defaultImageDpi w14:val="32767"/>
  <w15:chartTrackingRefBased/>
  <w15:docId w15:val="{8878F546-A2FC-D547-B795-00130B53D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6E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66E25"/>
    <w:pPr>
      <w:tabs>
        <w:tab w:val="center" w:pos="4680"/>
        <w:tab w:val="right" w:pos="9360"/>
      </w:tabs>
    </w:pPr>
  </w:style>
  <w:style w:type="character" w:customStyle="1" w:styleId="HeaderChar">
    <w:name w:val="Header Char"/>
    <w:basedOn w:val="DefaultParagraphFont"/>
    <w:link w:val="Header"/>
    <w:uiPriority w:val="99"/>
    <w:rsid w:val="00C66E25"/>
    <w:rPr>
      <w:rFonts w:eastAsiaTheme="minorEastAsia"/>
    </w:rPr>
  </w:style>
  <w:style w:type="paragraph" w:styleId="Footer">
    <w:name w:val="footer"/>
    <w:basedOn w:val="Normal"/>
    <w:link w:val="FooterChar"/>
    <w:uiPriority w:val="99"/>
    <w:unhideWhenUsed/>
    <w:rsid w:val="00C66E25"/>
    <w:pPr>
      <w:tabs>
        <w:tab w:val="center" w:pos="4680"/>
        <w:tab w:val="right" w:pos="9360"/>
      </w:tabs>
    </w:pPr>
  </w:style>
  <w:style w:type="character" w:customStyle="1" w:styleId="FooterChar">
    <w:name w:val="Footer Char"/>
    <w:basedOn w:val="DefaultParagraphFont"/>
    <w:link w:val="Footer"/>
    <w:uiPriority w:val="99"/>
    <w:rsid w:val="00C66E25"/>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1025</Words>
  <Characters>5849</Characters>
  <Application>Microsoft Office Word</Application>
  <DocSecurity>0</DocSecurity>
  <Lines>48</Lines>
  <Paragraphs>13</Paragraphs>
  <ScaleCrop>false</ScaleCrop>
  <Company/>
  <LinksUpToDate>false</LinksUpToDate>
  <CharactersWithSpaces>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2020-09-06T12:59:00Z</dcterms:created>
  <dcterms:modified xsi:type="dcterms:W3CDTF">2020-09-06T13:08:00Z</dcterms:modified>
</cp:coreProperties>
</file>