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4836DC" w:rsidRPr="00154211" w14:paraId="5CF2996A" w14:textId="77777777" w:rsidTr="004836DC">
        <w:tc>
          <w:tcPr>
            <w:tcW w:w="2590" w:type="dxa"/>
          </w:tcPr>
          <w:p w14:paraId="0A9F72C2" w14:textId="68252ADE" w:rsidR="004836DC" w:rsidRPr="00154211" w:rsidRDefault="004836DC">
            <w:pPr>
              <w:rPr>
                <w:rFonts w:ascii="Times New Roman" w:hAnsi="Times New Roman" w:cs="Times New Roman"/>
              </w:rPr>
            </w:pPr>
            <w:r w:rsidRPr="00154211">
              <w:rPr>
                <w:rFonts w:ascii="Times New Roman" w:hAnsi="Times New Roman" w:cs="Times New Roman"/>
              </w:rPr>
              <w:t>Knowledge &amp; Behavior</w:t>
            </w:r>
          </w:p>
        </w:tc>
        <w:tc>
          <w:tcPr>
            <w:tcW w:w="2590" w:type="dxa"/>
          </w:tcPr>
          <w:p w14:paraId="22023C3E" w14:textId="4C46F2AA" w:rsidR="004836DC" w:rsidRPr="00154211" w:rsidRDefault="004836DC">
            <w:pPr>
              <w:rPr>
                <w:rFonts w:ascii="Times New Roman" w:hAnsi="Times New Roman" w:cs="Times New Roman"/>
              </w:rPr>
            </w:pPr>
            <w:r w:rsidRPr="00154211">
              <w:rPr>
                <w:rFonts w:ascii="Times New Roman" w:hAnsi="Times New Roman" w:cs="Times New Roman"/>
              </w:rPr>
              <w:t>Access</w:t>
            </w:r>
          </w:p>
        </w:tc>
        <w:tc>
          <w:tcPr>
            <w:tcW w:w="2590" w:type="dxa"/>
          </w:tcPr>
          <w:p w14:paraId="4ACDE01A" w14:textId="204F5464" w:rsidR="004836DC" w:rsidRPr="00154211" w:rsidRDefault="004836DC">
            <w:pPr>
              <w:rPr>
                <w:rFonts w:ascii="Times New Roman" w:hAnsi="Times New Roman" w:cs="Times New Roman"/>
              </w:rPr>
            </w:pPr>
            <w:r w:rsidRPr="00154211">
              <w:rPr>
                <w:rFonts w:ascii="Times New Roman" w:hAnsi="Times New Roman" w:cs="Times New Roman"/>
              </w:rPr>
              <w:t>Risks</w:t>
            </w:r>
          </w:p>
        </w:tc>
        <w:tc>
          <w:tcPr>
            <w:tcW w:w="2590" w:type="dxa"/>
          </w:tcPr>
          <w:p w14:paraId="571B2D85" w14:textId="4A912BCC" w:rsidR="004836DC" w:rsidRPr="00154211" w:rsidRDefault="004836DC">
            <w:pPr>
              <w:rPr>
                <w:rFonts w:ascii="Times New Roman" w:hAnsi="Times New Roman" w:cs="Times New Roman"/>
              </w:rPr>
            </w:pPr>
            <w:r w:rsidRPr="00154211">
              <w:rPr>
                <w:rFonts w:ascii="Times New Roman" w:hAnsi="Times New Roman" w:cs="Times New Roman"/>
              </w:rPr>
              <w:t>Age group</w:t>
            </w:r>
          </w:p>
        </w:tc>
        <w:tc>
          <w:tcPr>
            <w:tcW w:w="2590" w:type="dxa"/>
          </w:tcPr>
          <w:p w14:paraId="48AE2C9F" w14:textId="66584156" w:rsidR="004836DC" w:rsidRPr="00154211" w:rsidRDefault="004836DC">
            <w:pPr>
              <w:rPr>
                <w:rFonts w:ascii="Times New Roman" w:hAnsi="Times New Roman" w:cs="Times New Roman"/>
              </w:rPr>
            </w:pPr>
            <w:r w:rsidRPr="00154211">
              <w:rPr>
                <w:rFonts w:ascii="Times New Roman" w:hAnsi="Times New Roman" w:cs="Times New Roman"/>
              </w:rPr>
              <w:t>World Views</w:t>
            </w:r>
          </w:p>
        </w:tc>
      </w:tr>
      <w:tr w:rsidR="004836DC" w:rsidRPr="00154211" w14:paraId="64D576DE" w14:textId="77777777" w:rsidTr="004836DC">
        <w:tc>
          <w:tcPr>
            <w:tcW w:w="2590" w:type="dxa"/>
          </w:tcPr>
          <w:p w14:paraId="65C36079" w14:textId="77777777" w:rsidR="004836DC" w:rsidRPr="00154211" w:rsidRDefault="004836DC" w:rsidP="004836DC">
            <w:pPr>
              <w:rPr>
                <w:rFonts w:ascii="Times New Roman" w:hAnsi="Times New Roman" w:cs="Times New Roman"/>
              </w:rPr>
            </w:pPr>
            <w:r w:rsidRPr="00154211">
              <w:rPr>
                <w:rFonts w:ascii="Times New Roman" w:hAnsi="Times New Roman" w:cs="Times New Roman"/>
              </w:rPr>
              <w:t xml:space="preserve">We designed an educational interactive </w:t>
            </w:r>
            <w:proofErr w:type="spellStart"/>
            <w:r w:rsidRPr="00154211">
              <w:rPr>
                <w:rFonts w:ascii="Times New Roman" w:hAnsi="Times New Roman" w:cs="Times New Roman"/>
              </w:rPr>
              <w:t>ebook</w:t>
            </w:r>
            <w:proofErr w:type="spellEnd"/>
            <w:r w:rsidRPr="00154211">
              <w:rPr>
                <w:rFonts w:ascii="Times New Roman" w:hAnsi="Times New Roman" w:cs="Times New Roman"/>
              </w:rPr>
              <w:t xml:space="preserve"> called Cyberheroes and evaluated it to assess its effectiveness at increasing children’s online privacy knowledge and behavior, and supporting child-parent privacy-related discussions (Zhang-Kennedy, Abdelaziz, Chiasson, 2017, abstract).</w:t>
            </w:r>
          </w:p>
          <w:p w14:paraId="61F4668D" w14:textId="77777777" w:rsidR="004836DC" w:rsidRPr="00154211" w:rsidRDefault="004836DC">
            <w:pPr>
              <w:rPr>
                <w:rFonts w:ascii="Times New Roman" w:hAnsi="Times New Roman" w:cs="Times New Roman"/>
              </w:rPr>
            </w:pPr>
          </w:p>
        </w:tc>
        <w:tc>
          <w:tcPr>
            <w:tcW w:w="2590" w:type="dxa"/>
          </w:tcPr>
          <w:p w14:paraId="1526F5C4" w14:textId="77777777" w:rsidR="004836DC" w:rsidRPr="00154211" w:rsidRDefault="004836DC" w:rsidP="004836DC">
            <w:pPr>
              <w:rPr>
                <w:rFonts w:ascii="Times New Roman" w:hAnsi="Times New Roman" w:cs="Times New Roman"/>
              </w:rPr>
            </w:pPr>
            <w:r w:rsidRPr="00154211">
              <w:rPr>
                <w:rFonts w:ascii="Times New Roman" w:hAnsi="Times New Roman" w:cs="Times New Roman"/>
              </w:rPr>
              <w:t>Access to mobile media devices has increased dramatically among young children, with 96.6% of 6-month to 4-year-olds using mobile devices on a daily basis (</w:t>
            </w:r>
            <w:r w:rsidRPr="00154211">
              <w:rPr>
                <w:rFonts w:ascii="Times New Roman" w:hAnsi="Times New Roman" w:cs="Times New Roman"/>
                <w:highlight w:val="yellow"/>
              </w:rPr>
              <w:t>1 as cited</w:t>
            </w:r>
            <w:r w:rsidRPr="00154211">
              <w:rPr>
                <w:rFonts w:ascii="Times New Roman" w:hAnsi="Times New Roman" w:cs="Times New Roman"/>
              </w:rPr>
              <w:t xml:space="preserve"> by Zhang-Kennedy, Abdelaziz, Chiasson, 2017, p. 10).</w:t>
            </w:r>
          </w:p>
          <w:p w14:paraId="780F1067" w14:textId="77777777" w:rsidR="004836DC" w:rsidRPr="00154211" w:rsidRDefault="004836DC">
            <w:pPr>
              <w:rPr>
                <w:rFonts w:ascii="Times New Roman" w:hAnsi="Times New Roman" w:cs="Times New Roman"/>
              </w:rPr>
            </w:pPr>
          </w:p>
        </w:tc>
        <w:tc>
          <w:tcPr>
            <w:tcW w:w="2590" w:type="dxa"/>
          </w:tcPr>
          <w:p w14:paraId="2CCBC8A3" w14:textId="77777777" w:rsidR="004836DC" w:rsidRPr="00154211" w:rsidRDefault="004836DC" w:rsidP="004836DC">
            <w:pPr>
              <w:rPr>
                <w:rFonts w:ascii="Times New Roman" w:hAnsi="Times New Roman" w:cs="Times New Roman"/>
              </w:rPr>
            </w:pPr>
            <w:r w:rsidRPr="00154211">
              <w:rPr>
                <w:rFonts w:ascii="Times New Roman" w:hAnsi="Times New Roman" w:cs="Times New Roman"/>
              </w:rPr>
              <w:t>Frequent online access increases children’s exposure to online privacy risks (</w:t>
            </w:r>
            <w:r w:rsidRPr="00154211">
              <w:rPr>
                <w:rFonts w:ascii="Times New Roman" w:hAnsi="Times New Roman" w:cs="Times New Roman"/>
                <w:highlight w:val="yellow"/>
              </w:rPr>
              <w:t>1 as cited</w:t>
            </w:r>
            <w:r w:rsidRPr="00154211">
              <w:rPr>
                <w:rFonts w:ascii="Times New Roman" w:hAnsi="Times New Roman" w:cs="Times New Roman"/>
              </w:rPr>
              <w:t xml:space="preserve"> by Zhang-Kennedy, Abdelaziz, Chiasson, 2017, p. 10).</w:t>
            </w:r>
          </w:p>
          <w:p w14:paraId="74F52FCF" w14:textId="77777777" w:rsidR="004836DC" w:rsidRPr="00154211" w:rsidRDefault="004836DC">
            <w:pPr>
              <w:rPr>
                <w:rFonts w:ascii="Times New Roman" w:hAnsi="Times New Roman" w:cs="Times New Roman"/>
              </w:rPr>
            </w:pPr>
          </w:p>
        </w:tc>
        <w:tc>
          <w:tcPr>
            <w:tcW w:w="2590" w:type="dxa"/>
          </w:tcPr>
          <w:p w14:paraId="3AC3903E" w14:textId="77777777" w:rsidR="004836DC" w:rsidRPr="00154211" w:rsidRDefault="004836DC" w:rsidP="004836DC">
            <w:pPr>
              <w:rPr>
                <w:rFonts w:ascii="Times New Roman" w:hAnsi="Times New Roman" w:cs="Times New Roman"/>
              </w:rPr>
            </w:pPr>
            <w:r w:rsidRPr="00154211">
              <w:rPr>
                <w:rFonts w:ascii="Times New Roman" w:hAnsi="Times New Roman" w:cs="Times New Roman"/>
              </w:rPr>
              <w:t>While many privacy education initiatives focus on tweens, teens, and adults as their primary audience, we lack appropriate resources to teach young children, who are still developing literacy and cognitive skills and have limited experience. These limitations pose constraints on educational content and format (Zhang-Kennedy, Abdelaziz, Chiasson, 2017, p. 10).</w:t>
            </w:r>
          </w:p>
          <w:p w14:paraId="7D3803B8" w14:textId="77777777" w:rsidR="004836DC" w:rsidRPr="00154211" w:rsidRDefault="004836DC">
            <w:pPr>
              <w:rPr>
                <w:rFonts w:ascii="Times New Roman" w:hAnsi="Times New Roman" w:cs="Times New Roman"/>
              </w:rPr>
            </w:pPr>
          </w:p>
        </w:tc>
        <w:tc>
          <w:tcPr>
            <w:tcW w:w="2590" w:type="dxa"/>
          </w:tcPr>
          <w:p w14:paraId="49691629" w14:textId="77777777" w:rsidR="004836DC" w:rsidRPr="00154211" w:rsidRDefault="004836DC" w:rsidP="004836DC">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The study surveyed 1261 internet users from five cities (Bangalore, Seoul, Singapore, Sydney and New York) to examine multinational internet users’ perceptions and behavioural responses concerning online privacy (Cho, Rivera-Sánchez, Lim, 2009, abstract).</w:t>
            </w:r>
          </w:p>
          <w:p w14:paraId="68F39CDB" w14:textId="77777777" w:rsidR="004836DC" w:rsidRPr="00154211" w:rsidRDefault="004836DC">
            <w:pPr>
              <w:rPr>
                <w:rFonts w:ascii="Times New Roman" w:hAnsi="Times New Roman" w:cs="Times New Roman"/>
              </w:rPr>
            </w:pPr>
          </w:p>
        </w:tc>
      </w:tr>
      <w:tr w:rsidR="004836DC" w:rsidRPr="00154211" w14:paraId="7D010247" w14:textId="77777777" w:rsidTr="004836DC">
        <w:tc>
          <w:tcPr>
            <w:tcW w:w="2590" w:type="dxa"/>
          </w:tcPr>
          <w:p w14:paraId="5D0C40F4" w14:textId="77777777" w:rsidR="004836DC" w:rsidRPr="00154211" w:rsidRDefault="004836DC" w:rsidP="004836DC">
            <w:pPr>
              <w:rPr>
                <w:rFonts w:ascii="Times New Roman" w:hAnsi="Times New Roman" w:cs="Times New Roman"/>
              </w:rPr>
            </w:pPr>
            <w:r w:rsidRPr="00154211">
              <w:rPr>
                <w:rFonts w:ascii="Times New Roman" w:hAnsi="Times New Roman" w:cs="Times New Roman"/>
              </w:rPr>
              <w:t>Child-friendly education initiatives are needed to empower children to be secure and responsible digital citizens (</w:t>
            </w:r>
            <w:r w:rsidRPr="00154211">
              <w:rPr>
                <w:rFonts w:ascii="Times New Roman" w:hAnsi="Times New Roman" w:cs="Times New Roman"/>
                <w:highlight w:val="yellow"/>
              </w:rPr>
              <w:t>2, 3 as cited</w:t>
            </w:r>
            <w:r w:rsidRPr="00154211">
              <w:rPr>
                <w:rFonts w:ascii="Times New Roman" w:hAnsi="Times New Roman" w:cs="Times New Roman"/>
              </w:rPr>
              <w:t xml:space="preserve"> by Zhang-Kennedy, Abdelaziz, Chiasson, 2017, p. 10).</w:t>
            </w:r>
          </w:p>
          <w:p w14:paraId="6C3DFF68" w14:textId="77777777" w:rsidR="004836DC" w:rsidRPr="00154211" w:rsidRDefault="004836DC">
            <w:pPr>
              <w:rPr>
                <w:rFonts w:ascii="Times New Roman" w:hAnsi="Times New Roman" w:cs="Times New Roman"/>
              </w:rPr>
            </w:pPr>
          </w:p>
        </w:tc>
        <w:tc>
          <w:tcPr>
            <w:tcW w:w="2590" w:type="dxa"/>
          </w:tcPr>
          <w:p w14:paraId="2396E2F0" w14:textId="77777777" w:rsidR="00545875" w:rsidRPr="00154211" w:rsidRDefault="00545875" w:rsidP="00545875">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Surveys show (e.g. Consumer Internet Barometer, 2003) show that while in the 1970s 30 percent of consumers claimed to be concerned about privacy, that figure is now more than 80 percent (</w:t>
            </w:r>
            <w:proofErr w:type="spellStart"/>
            <w:r w:rsidRPr="00154211">
              <w:rPr>
                <w:rFonts w:ascii="Times New Roman" w:eastAsiaTheme="minorHAnsi" w:hAnsi="Times New Roman" w:cs="Times New Roman"/>
                <w:color w:val="000000" w:themeColor="text1"/>
              </w:rPr>
              <w:t>Dommeyer</w:t>
            </w:r>
            <w:proofErr w:type="spellEnd"/>
            <w:r w:rsidRPr="00154211">
              <w:rPr>
                <w:rFonts w:ascii="Times New Roman" w:eastAsiaTheme="minorHAnsi" w:hAnsi="Times New Roman" w:cs="Times New Roman"/>
                <w:color w:val="000000" w:themeColor="text1"/>
              </w:rPr>
              <w:t xml:space="preserve"> and Gross, 2003 as cited by Cho, Rivera-Sánchez, Lim, 2009, p. 396).</w:t>
            </w:r>
          </w:p>
          <w:p w14:paraId="217C340A" w14:textId="77777777" w:rsidR="004836DC" w:rsidRPr="00154211" w:rsidRDefault="004836DC">
            <w:pPr>
              <w:rPr>
                <w:rFonts w:ascii="Times New Roman" w:hAnsi="Times New Roman" w:cs="Times New Roman"/>
              </w:rPr>
            </w:pPr>
          </w:p>
        </w:tc>
        <w:tc>
          <w:tcPr>
            <w:tcW w:w="2590" w:type="dxa"/>
          </w:tcPr>
          <w:p w14:paraId="7E670AE5" w14:textId="77777777" w:rsidR="00545875" w:rsidRPr="00154211" w:rsidRDefault="00545875" w:rsidP="00545875">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Personal information privacy is fast becoming one of the most critical issues in today’s information-saturate society (</w:t>
            </w:r>
            <w:r w:rsidRPr="00154211">
              <w:rPr>
                <w:rFonts w:ascii="Times New Roman" w:eastAsiaTheme="minorHAnsi" w:hAnsi="Times New Roman" w:cs="Times New Roman"/>
                <w:color w:val="000000" w:themeColor="text1"/>
                <w:highlight w:val="yellow"/>
              </w:rPr>
              <w:t>Milberg et al., 1995</w:t>
            </w:r>
            <w:r w:rsidRPr="00154211">
              <w:rPr>
                <w:rFonts w:ascii="Times New Roman" w:eastAsiaTheme="minorHAnsi" w:hAnsi="Times New Roman" w:cs="Times New Roman"/>
                <w:color w:val="000000" w:themeColor="text1"/>
              </w:rPr>
              <w:t xml:space="preserve"> as cited in Cho, Rivera-Sánchez, Lim, 2009, p. 396).</w:t>
            </w:r>
          </w:p>
          <w:p w14:paraId="34E535D5" w14:textId="77777777" w:rsidR="004836DC" w:rsidRPr="00154211" w:rsidRDefault="004836DC" w:rsidP="004836DC">
            <w:pPr>
              <w:rPr>
                <w:rFonts w:ascii="Times New Roman" w:hAnsi="Times New Roman" w:cs="Times New Roman"/>
              </w:rPr>
            </w:pPr>
          </w:p>
        </w:tc>
        <w:tc>
          <w:tcPr>
            <w:tcW w:w="2590" w:type="dxa"/>
          </w:tcPr>
          <w:p w14:paraId="6192FF4A" w14:textId="77777777" w:rsidR="004836DC" w:rsidRPr="00154211" w:rsidRDefault="004836DC" w:rsidP="004836DC">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 xml:space="preserve">The results showed that individual differences (age, gender and internet experience), nationality and national culture significantly influenced internet users’ privacy concerns to the extent that older, female internet users from an individualistic culture were more concerned about online privacy than their </w:t>
            </w:r>
            <w:r w:rsidRPr="00154211">
              <w:rPr>
                <w:rFonts w:ascii="Times New Roman" w:eastAsiaTheme="minorHAnsi" w:hAnsi="Times New Roman" w:cs="Times New Roman"/>
                <w:color w:val="000000" w:themeColor="text1"/>
              </w:rPr>
              <w:lastRenderedPageBreak/>
              <w:t>counterparts (Cho, Rivera-Sánchez, Lim, 2009, abstract).</w:t>
            </w:r>
          </w:p>
          <w:p w14:paraId="584EE9D2" w14:textId="77777777" w:rsidR="004836DC" w:rsidRPr="00154211" w:rsidRDefault="004836DC">
            <w:pPr>
              <w:rPr>
                <w:rFonts w:ascii="Times New Roman" w:hAnsi="Times New Roman" w:cs="Times New Roman"/>
              </w:rPr>
            </w:pPr>
          </w:p>
        </w:tc>
        <w:tc>
          <w:tcPr>
            <w:tcW w:w="2590" w:type="dxa"/>
          </w:tcPr>
          <w:p w14:paraId="07DE749A" w14:textId="77777777" w:rsidR="004836DC" w:rsidRPr="00154211" w:rsidRDefault="004836DC" w:rsidP="004836DC">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lastRenderedPageBreak/>
              <w:t>The study identified a set of individual-level (demographics and internet-related experiences) and macro-level factors (nationality and national culture) and tested the extent to which they affected online privacy concerns and privacy protection behaviours (Cho, Rivera-Sánchez, Lim, 2009, abstract).</w:t>
            </w:r>
          </w:p>
          <w:p w14:paraId="666CF507" w14:textId="77777777" w:rsidR="004836DC" w:rsidRPr="00154211" w:rsidRDefault="004836DC">
            <w:pPr>
              <w:rPr>
                <w:rFonts w:ascii="Times New Roman" w:hAnsi="Times New Roman" w:cs="Times New Roman"/>
              </w:rPr>
            </w:pPr>
          </w:p>
        </w:tc>
      </w:tr>
      <w:tr w:rsidR="004836DC" w:rsidRPr="00154211" w14:paraId="5ABF33EE" w14:textId="77777777" w:rsidTr="004836DC">
        <w:tc>
          <w:tcPr>
            <w:tcW w:w="2590" w:type="dxa"/>
          </w:tcPr>
          <w:p w14:paraId="7438290B" w14:textId="77777777" w:rsidR="004836DC" w:rsidRPr="00154211" w:rsidRDefault="004836DC" w:rsidP="004836DC">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lastRenderedPageBreak/>
              <w:t>The study also identified three underlying dimensions of privacy protection behaviour- avoidance, opt-out and proactive protection- and found that they distinctly related to the individual and macro-level factors (Cho, Rivera-Sánchez, Lim, 2009, abstract).</w:t>
            </w:r>
          </w:p>
          <w:p w14:paraId="6B2C3481" w14:textId="77777777" w:rsidR="004836DC" w:rsidRPr="00154211" w:rsidRDefault="004836DC" w:rsidP="004836DC">
            <w:pPr>
              <w:rPr>
                <w:rFonts w:ascii="Times New Roman" w:hAnsi="Times New Roman" w:cs="Times New Roman"/>
              </w:rPr>
            </w:pPr>
          </w:p>
        </w:tc>
        <w:tc>
          <w:tcPr>
            <w:tcW w:w="2590" w:type="dxa"/>
          </w:tcPr>
          <w:p w14:paraId="2D3E52F1" w14:textId="77777777" w:rsidR="00545875" w:rsidRPr="00154211" w:rsidRDefault="00545875" w:rsidP="00545875">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Such high levels of concern, it is argued, have negative consequences for the broad-scale adoption of the internet and e-commerce (</w:t>
            </w:r>
            <w:proofErr w:type="spellStart"/>
            <w:r w:rsidRPr="00154211">
              <w:rPr>
                <w:rFonts w:ascii="Times New Roman" w:eastAsiaTheme="minorHAnsi" w:hAnsi="Times New Roman" w:cs="Times New Roman"/>
                <w:color w:val="000000" w:themeColor="text1"/>
                <w:highlight w:val="yellow"/>
              </w:rPr>
              <w:t>Infocomm</w:t>
            </w:r>
            <w:proofErr w:type="spellEnd"/>
            <w:r w:rsidRPr="00154211">
              <w:rPr>
                <w:rFonts w:ascii="Times New Roman" w:eastAsiaTheme="minorHAnsi" w:hAnsi="Times New Roman" w:cs="Times New Roman"/>
                <w:color w:val="000000" w:themeColor="text1"/>
                <w:highlight w:val="yellow"/>
              </w:rPr>
              <w:t xml:space="preserve"> Development Authority, 2004: Sheehan, 1999</w:t>
            </w:r>
            <w:r w:rsidRPr="00154211">
              <w:rPr>
                <w:rFonts w:ascii="Times New Roman" w:eastAsiaTheme="minorHAnsi" w:hAnsi="Times New Roman" w:cs="Times New Roman"/>
                <w:color w:val="000000" w:themeColor="text1"/>
              </w:rPr>
              <w:t xml:space="preserve"> as cited in Cho, Rivera-Sánchez, Lim, 2009, p. 396).</w:t>
            </w:r>
          </w:p>
          <w:p w14:paraId="19E72FB4" w14:textId="77777777" w:rsidR="004836DC" w:rsidRPr="00154211" w:rsidRDefault="004836DC">
            <w:pPr>
              <w:rPr>
                <w:rFonts w:ascii="Times New Roman" w:hAnsi="Times New Roman" w:cs="Times New Roman"/>
              </w:rPr>
            </w:pPr>
          </w:p>
        </w:tc>
        <w:tc>
          <w:tcPr>
            <w:tcW w:w="2590" w:type="dxa"/>
          </w:tcPr>
          <w:p w14:paraId="77416869" w14:textId="77777777" w:rsidR="00545875" w:rsidRPr="00154211" w:rsidRDefault="00545875" w:rsidP="00545875">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Online privacy is not only becoming a significant ethical or managerial issue, it is also viewed increasingly as an ‘international human rights’ issue (Smith et al., 1996 as cited by Cho, Rivera-Sánchez, Lim, 2009, p. 396).</w:t>
            </w:r>
          </w:p>
          <w:p w14:paraId="551DC32A" w14:textId="77777777" w:rsidR="004836DC" w:rsidRPr="00154211" w:rsidRDefault="004836DC" w:rsidP="00545875">
            <w:pPr>
              <w:rPr>
                <w:rFonts w:ascii="Times New Roman" w:eastAsiaTheme="minorHAnsi" w:hAnsi="Times New Roman" w:cs="Times New Roman"/>
                <w:color w:val="000000" w:themeColor="text1"/>
              </w:rPr>
            </w:pPr>
          </w:p>
        </w:tc>
        <w:tc>
          <w:tcPr>
            <w:tcW w:w="2590" w:type="dxa"/>
          </w:tcPr>
          <w:p w14:paraId="51AD441F" w14:textId="77777777" w:rsidR="007B7533" w:rsidRPr="00154211" w:rsidRDefault="007B7533" w:rsidP="007B7533">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More specifically, it identified a set of individual-level factors (demographic variables and internet-related experiences) and macro-level factors (nationality and national culture) and tested the extent to which the two-level antecedent factors affected online privacy concerns and self-protection behaviors (Cho, Rivera-Sánchez, Lim, 2009, p. 396).</w:t>
            </w:r>
          </w:p>
          <w:p w14:paraId="71D4F3A1" w14:textId="77777777" w:rsidR="004836DC" w:rsidRPr="00154211" w:rsidRDefault="004836DC" w:rsidP="004836DC">
            <w:pPr>
              <w:rPr>
                <w:rFonts w:ascii="Times New Roman" w:eastAsiaTheme="minorHAnsi" w:hAnsi="Times New Roman" w:cs="Times New Roman"/>
                <w:color w:val="000000" w:themeColor="text1"/>
              </w:rPr>
            </w:pPr>
          </w:p>
        </w:tc>
        <w:tc>
          <w:tcPr>
            <w:tcW w:w="2590" w:type="dxa"/>
          </w:tcPr>
          <w:p w14:paraId="61DCE529" w14:textId="77777777" w:rsidR="00545875" w:rsidRPr="00154211" w:rsidRDefault="00545875" w:rsidP="00545875">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The findings highlight the conditional and multicultural nature of online privacy (Cho, Rivera-Sánchez, Lim, 2009, abstract).</w:t>
            </w:r>
          </w:p>
          <w:p w14:paraId="11934B5F" w14:textId="77777777" w:rsidR="004836DC" w:rsidRPr="00154211" w:rsidRDefault="004836DC" w:rsidP="004836DC">
            <w:pPr>
              <w:rPr>
                <w:rFonts w:ascii="Times New Roman" w:eastAsiaTheme="minorHAnsi" w:hAnsi="Times New Roman" w:cs="Times New Roman"/>
                <w:color w:val="000000" w:themeColor="text1"/>
              </w:rPr>
            </w:pPr>
          </w:p>
        </w:tc>
      </w:tr>
      <w:tr w:rsidR="00545875" w:rsidRPr="00154211" w14:paraId="63BC3673" w14:textId="77777777" w:rsidTr="004836DC">
        <w:tc>
          <w:tcPr>
            <w:tcW w:w="2590" w:type="dxa"/>
          </w:tcPr>
          <w:p w14:paraId="09A839CC" w14:textId="77777777" w:rsidR="00860910" w:rsidRPr="00154211" w:rsidRDefault="00860910" w:rsidP="00860910">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Several studies examined the relationship between individuals’ experiences with the internet and privacy concerns.  Internet experience has been operationalized by length and frequency of use (</w:t>
            </w:r>
            <w:r w:rsidRPr="00154211">
              <w:rPr>
                <w:rFonts w:ascii="Times New Roman" w:eastAsiaTheme="minorHAnsi" w:hAnsi="Times New Roman" w:cs="Times New Roman"/>
                <w:color w:val="000000" w:themeColor="text1"/>
                <w:highlight w:val="yellow"/>
              </w:rPr>
              <w:t xml:space="preserve">Bellman et al., 2004; Miyazaki and Fernandez, 2001; </w:t>
            </w:r>
            <w:r w:rsidRPr="00154211">
              <w:rPr>
                <w:rFonts w:ascii="Times New Roman" w:eastAsiaTheme="minorHAnsi" w:hAnsi="Times New Roman" w:cs="Times New Roman"/>
                <w:color w:val="000000" w:themeColor="text1"/>
                <w:highlight w:val="yellow"/>
              </w:rPr>
              <w:lastRenderedPageBreak/>
              <w:t>UCLA Center for Communication Policy, 2004</w:t>
            </w:r>
            <w:r w:rsidRPr="00154211">
              <w:rPr>
                <w:rFonts w:ascii="Times New Roman" w:eastAsiaTheme="minorHAnsi" w:hAnsi="Times New Roman" w:cs="Times New Roman"/>
                <w:color w:val="000000" w:themeColor="text1"/>
              </w:rPr>
              <w:t xml:space="preserve"> as cited by Cho, Rivera-Sánchez, Lim, 2009, p. 397).</w:t>
            </w:r>
          </w:p>
          <w:p w14:paraId="4849352B" w14:textId="77777777" w:rsidR="00545875" w:rsidRPr="00154211" w:rsidRDefault="00545875" w:rsidP="004836DC">
            <w:pPr>
              <w:rPr>
                <w:rFonts w:ascii="Times New Roman" w:eastAsiaTheme="minorHAnsi" w:hAnsi="Times New Roman" w:cs="Times New Roman"/>
                <w:color w:val="000000" w:themeColor="text1"/>
              </w:rPr>
            </w:pPr>
          </w:p>
        </w:tc>
        <w:tc>
          <w:tcPr>
            <w:tcW w:w="2590" w:type="dxa"/>
          </w:tcPr>
          <w:p w14:paraId="644443ED" w14:textId="77777777" w:rsidR="00154211" w:rsidRPr="00154211" w:rsidRDefault="00154211" w:rsidP="00154211">
            <w:pPr>
              <w:rPr>
                <w:rFonts w:ascii="Times New Roman" w:hAnsi="Times New Roman" w:cs="Times New Roman"/>
              </w:rPr>
            </w:pPr>
            <w:r w:rsidRPr="00154211">
              <w:rPr>
                <w:rFonts w:ascii="Times New Roman" w:hAnsi="Times New Roman" w:cs="Times New Roman"/>
              </w:rPr>
              <w:lastRenderedPageBreak/>
              <w:t xml:space="preserve">Individuals preserve audience segregation by following the rules of decorum of each social situation and by filtering the information about themselves available to each audience (Abril, Levin, Del </w:t>
            </w:r>
            <w:proofErr w:type="spellStart"/>
            <w:r w:rsidRPr="00154211">
              <w:rPr>
                <w:rFonts w:ascii="Times New Roman" w:hAnsi="Times New Roman" w:cs="Times New Roman"/>
              </w:rPr>
              <w:t>Riego</w:t>
            </w:r>
            <w:proofErr w:type="spellEnd"/>
            <w:r w:rsidRPr="00154211">
              <w:rPr>
                <w:rFonts w:ascii="Times New Roman" w:hAnsi="Times New Roman" w:cs="Times New Roman"/>
              </w:rPr>
              <w:t>, 2012, p. 63-64).</w:t>
            </w:r>
          </w:p>
          <w:p w14:paraId="3B897B14" w14:textId="77777777" w:rsidR="00545875" w:rsidRPr="00154211" w:rsidRDefault="00545875">
            <w:pPr>
              <w:rPr>
                <w:rFonts w:ascii="Times New Roman" w:hAnsi="Times New Roman" w:cs="Times New Roman"/>
              </w:rPr>
            </w:pPr>
          </w:p>
        </w:tc>
        <w:tc>
          <w:tcPr>
            <w:tcW w:w="2590" w:type="dxa"/>
          </w:tcPr>
          <w:p w14:paraId="35F7A871" w14:textId="77777777" w:rsidR="00860910" w:rsidRPr="00154211" w:rsidRDefault="00860910" w:rsidP="00860910">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Privacy is a multifaceted notion, encompassing personal autonomy, democratic participation, identity management and social coordination (</w:t>
            </w:r>
            <w:r w:rsidRPr="00154211">
              <w:rPr>
                <w:rFonts w:ascii="Times New Roman" w:eastAsiaTheme="minorHAnsi" w:hAnsi="Times New Roman" w:cs="Times New Roman"/>
                <w:color w:val="000000" w:themeColor="text1"/>
                <w:highlight w:val="yellow"/>
              </w:rPr>
              <w:t>Phillips, 2004</w:t>
            </w:r>
            <w:r w:rsidRPr="00154211">
              <w:rPr>
                <w:rFonts w:ascii="Times New Roman" w:eastAsiaTheme="minorHAnsi" w:hAnsi="Times New Roman" w:cs="Times New Roman"/>
                <w:color w:val="000000" w:themeColor="text1"/>
              </w:rPr>
              <w:t xml:space="preserve"> as cited by Cho, Rivera-Sánchez, Lim, 2009, p. 397).</w:t>
            </w:r>
          </w:p>
          <w:p w14:paraId="24438602" w14:textId="77777777" w:rsidR="00545875" w:rsidRPr="00154211" w:rsidRDefault="00545875" w:rsidP="00545875">
            <w:pPr>
              <w:rPr>
                <w:rFonts w:ascii="Times New Roman" w:eastAsiaTheme="minorHAnsi" w:hAnsi="Times New Roman" w:cs="Times New Roman"/>
                <w:color w:val="000000" w:themeColor="text1"/>
              </w:rPr>
            </w:pPr>
          </w:p>
        </w:tc>
        <w:tc>
          <w:tcPr>
            <w:tcW w:w="2590" w:type="dxa"/>
          </w:tcPr>
          <w:p w14:paraId="61198CBC" w14:textId="77777777" w:rsidR="00860910" w:rsidRPr="00154211" w:rsidRDefault="00860910" w:rsidP="00860910">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 xml:space="preserve">A number of studies have tested whether concerns about online privacy are a function of demographic variables.  </w:t>
            </w:r>
            <w:r w:rsidRPr="00154211">
              <w:rPr>
                <w:rFonts w:ascii="Times New Roman" w:eastAsiaTheme="minorHAnsi" w:hAnsi="Times New Roman" w:cs="Times New Roman"/>
                <w:color w:val="000000" w:themeColor="text1"/>
                <w:highlight w:val="yellow"/>
              </w:rPr>
              <w:t>Sheehan (1999)</w:t>
            </w:r>
            <w:r w:rsidRPr="00154211">
              <w:rPr>
                <w:rFonts w:ascii="Times New Roman" w:eastAsiaTheme="minorHAnsi" w:hAnsi="Times New Roman" w:cs="Times New Roman"/>
                <w:color w:val="000000" w:themeColor="text1"/>
              </w:rPr>
              <w:t xml:space="preserve"> found that female internet users were generally more concerned about their personal privacy than male users (Cho, </w:t>
            </w:r>
            <w:r w:rsidRPr="00154211">
              <w:rPr>
                <w:rFonts w:ascii="Times New Roman" w:eastAsiaTheme="minorHAnsi" w:hAnsi="Times New Roman" w:cs="Times New Roman"/>
                <w:color w:val="000000" w:themeColor="text1"/>
              </w:rPr>
              <w:lastRenderedPageBreak/>
              <w:t>Rivera-Sánchez, Lim, 2009, p. 397).</w:t>
            </w:r>
          </w:p>
          <w:p w14:paraId="4D78C91A" w14:textId="77777777" w:rsidR="00545875" w:rsidRPr="00154211" w:rsidRDefault="00545875" w:rsidP="004836DC">
            <w:pPr>
              <w:rPr>
                <w:rFonts w:ascii="Times New Roman" w:eastAsiaTheme="minorHAnsi" w:hAnsi="Times New Roman" w:cs="Times New Roman"/>
                <w:color w:val="000000" w:themeColor="text1"/>
              </w:rPr>
            </w:pPr>
          </w:p>
        </w:tc>
        <w:tc>
          <w:tcPr>
            <w:tcW w:w="2590" w:type="dxa"/>
          </w:tcPr>
          <w:p w14:paraId="4750129A" w14:textId="77777777" w:rsidR="00545875" w:rsidRPr="00154211" w:rsidRDefault="00545875" w:rsidP="00545875">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lastRenderedPageBreak/>
              <w:t>As more companies and organizations become global, it is obvious that online privacy concerns extend beyond a single national culture (</w:t>
            </w:r>
            <w:r w:rsidRPr="00154211">
              <w:rPr>
                <w:rFonts w:ascii="Times New Roman" w:eastAsiaTheme="minorHAnsi" w:hAnsi="Times New Roman" w:cs="Times New Roman"/>
                <w:color w:val="000000" w:themeColor="text1"/>
                <w:highlight w:val="yellow"/>
              </w:rPr>
              <w:t>Milberg et al., 1995</w:t>
            </w:r>
            <w:r w:rsidRPr="00154211">
              <w:rPr>
                <w:rFonts w:ascii="Times New Roman" w:eastAsiaTheme="minorHAnsi" w:hAnsi="Times New Roman" w:cs="Times New Roman"/>
                <w:color w:val="000000" w:themeColor="text1"/>
              </w:rPr>
              <w:t xml:space="preserve"> as cited by Cho, Rivera-Sánchez, Lim, 2009, p. 396).</w:t>
            </w:r>
          </w:p>
          <w:p w14:paraId="2DC7C423" w14:textId="77777777" w:rsidR="00545875" w:rsidRPr="00154211" w:rsidRDefault="00545875" w:rsidP="00545875">
            <w:pPr>
              <w:rPr>
                <w:rFonts w:ascii="Times New Roman" w:eastAsiaTheme="minorHAnsi" w:hAnsi="Times New Roman" w:cs="Times New Roman"/>
                <w:color w:val="000000" w:themeColor="text1"/>
              </w:rPr>
            </w:pPr>
          </w:p>
        </w:tc>
      </w:tr>
      <w:tr w:rsidR="00545875" w:rsidRPr="00154211" w14:paraId="39B7951F" w14:textId="77777777" w:rsidTr="004836DC">
        <w:tc>
          <w:tcPr>
            <w:tcW w:w="2590" w:type="dxa"/>
          </w:tcPr>
          <w:p w14:paraId="37B27921" w14:textId="77777777" w:rsidR="00545875" w:rsidRPr="00154211" w:rsidRDefault="00545875" w:rsidP="004836DC">
            <w:pPr>
              <w:rPr>
                <w:rFonts w:ascii="Times New Roman" w:eastAsiaTheme="minorHAnsi" w:hAnsi="Times New Roman" w:cs="Times New Roman"/>
                <w:color w:val="000000" w:themeColor="text1"/>
              </w:rPr>
            </w:pPr>
          </w:p>
        </w:tc>
        <w:tc>
          <w:tcPr>
            <w:tcW w:w="2590" w:type="dxa"/>
          </w:tcPr>
          <w:p w14:paraId="27FD6651" w14:textId="77777777" w:rsidR="00154211" w:rsidRPr="00154211" w:rsidRDefault="00154211" w:rsidP="00154211">
            <w:pPr>
              <w:rPr>
                <w:rFonts w:ascii="Times New Roman" w:hAnsi="Times New Roman" w:cs="Times New Roman"/>
              </w:rPr>
            </w:pPr>
            <w:r w:rsidRPr="00154211">
              <w:rPr>
                <w:rFonts w:ascii="Times New Roman" w:hAnsi="Times New Roman" w:cs="Times New Roman"/>
              </w:rPr>
              <w:t xml:space="preserve">Through these performances, Goffman posited, individuals create and tailor their social identities for particular audiences (Abril, Levin, Del </w:t>
            </w:r>
            <w:proofErr w:type="spellStart"/>
            <w:r w:rsidRPr="00154211">
              <w:rPr>
                <w:rFonts w:ascii="Times New Roman" w:hAnsi="Times New Roman" w:cs="Times New Roman"/>
              </w:rPr>
              <w:t>Riego</w:t>
            </w:r>
            <w:proofErr w:type="spellEnd"/>
            <w:r w:rsidRPr="00154211">
              <w:rPr>
                <w:rFonts w:ascii="Times New Roman" w:hAnsi="Times New Roman" w:cs="Times New Roman"/>
              </w:rPr>
              <w:t>, 2012, p. 63).</w:t>
            </w:r>
          </w:p>
          <w:p w14:paraId="54DDB00B" w14:textId="77777777" w:rsidR="00545875" w:rsidRPr="00154211" w:rsidRDefault="00545875">
            <w:pPr>
              <w:rPr>
                <w:rFonts w:ascii="Times New Roman" w:hAnsi="Times New Roman" w:cs="Times New Roman"/>
              </w:rPr>
            </w:pPr>
          </w:p>
        </w:tc>
        <w:tc>
          <w:tcPr>
            <w:tcW w:w="2590" w:type="dxa"/>
          </w:tcPr>
          <w:p w14:paraId="7D169AB0" w14:textId="77777777" w:rsidR="00860910" w:rsidRPr="00154211" w:rsidRDefault="00860910" w:rsidP="00860910">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Central to this multidimensional construct is the desire to keep personal information out of the hands of others: that is, privacy concerns (</w:t>
            </w:r>
            <w:r w:rsidRPr="00154211">
              <w:rPr>
                <w:rFonts w:ascii="Times New Roman" w:eastAsiaTheme="minorHAnsi" w:hAnsi="Times New Roman" w:cs="Times New Roman"/>
                <w:color w:val="000000" w:themeColor="text1"/>
                <w:highlight w:val="yellow"/>
              </w:rPr>
              <w:t>Westin, 1967</w:t>
            </w:r>
            <w:r w:rsidRPr="00154211">
              <w:rPr>
                <w:rFonts w:ascii="Times New Roman" w:eastAsiaTheme="minorHAnsi" w:hAnsi="Times New Roman" w:cs="Times New Roman"/>
                <w:color w:val="000000" w:themeColor="text1"/>
              </w:rPr>
              <w:t xml:space="preserve"> as cited by Cho, Rivera-Sánchez, Lim, 2009, p. 397).</w:t>
            </w:r>
          </w:p>
          <w:p w14:paraId="57B773A8" w14:textId="77777777" w:rsidR="00545875" w:rsidRPr="00154211" w:rsidRDefault="00545875" w:rsidP="00545875">
            <w:pPr>
              <w:rPr>
                <w:rFonts w:ascii="Times New Roman" w:eastAsiaTheme="minorHAnsi" w:hAnsi="Times New Roman" w:cs="Times New Roman"/>
                <w:color w:val="000000" w:themeColor="text1"/>
              </w:rPr>
            </w:pPr>
          </w:p>
        </w:tc>
        <w:tc>
          <w:tcPr>
            <w:tcW w:w="2590" w:type="dxa"/>
          </w:tcPr>
          <w:p w14:paraId="6334229E" w14:textId="77777777" w:rsidR="00860910" w:rsidRPr="00154211" w:rsidRDefault="00860910" w:rsidP="00860910">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Females tended to be less risk-taking and trusting than males in various social settings, including online shopping (</w:t>
            </w:r>
            <w:r w:rsidRPr="00154211">
              <w:rPr>
                <w:rFonts w:ascii="Times New Roman" w:eastAsiaTheme="minorHAnsi" w:hAnsi="Times New Roman" w:cs="Times New Roman"/>
                <w:color w:val="000000" w:themeColor="text1"/>
                <w:highlight w:val="yellow"/>
              </w:rPr>
              <w:t>Rodgers and Harris, 2003</w:t>
            </w:r>
            <w:r w:rsidRPr="00154211">
              <w:rPr>
                <w:rFonts w:ascii="Times New Roman" w:eastAsiaTheme="minorHAnsi" w:hAnsi="Times New Roman" w:cs="Times New Roman"/>
                <w:color w:val="000000" w:themeColor="text1"/>
              </w:rPr>
              <w:t xml:space="preserve"> as cited by Cho, Rivera-Sánchez, Lim, 2009, p. 397).</w:t>
            </w:r>
          </w:p>
          <w:p w14:paraId="6220EE6C" w14:textId="77777777" w:rsidR="00860910" w:rsidRPr="00154211" w:rsidRDefault="00860910" w:rsidP="00860910">
            <w:pPr>
              <w:rPr>
                <w:rFonts w:ascii="Times New Roman" w:eastAsiaTheme="minorHAnsi" w:hAnsi="Times New Roman" w:cs="Times New Roman"/>
                <w:color w:val="000000" w:themeColor="text1"/>
              </w:rPr>
            </w:pPr>
          </w:p>
          <w:p w14:paraId="24679C13" w14:textId="77777777" w:rsidR="00860910" w:rsidRPr="00154211" w:rsidRDefault="00860910" w:rsidP="00860910">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Additionally, education level and age have been identified as significant factors influencing online privacy concerns (Cho, Rivera-Sánchez, Lim, 2009, p. 397).</w:t>
            </w:r>
          </w:p>
          <w:p w14:paraId="33DCCFD2" w14:textId="77777777" w:rsidR="00545875" w:rsidRPr="00154211" w:rsidRDefault="00545875" w:rsidP="004836DC">
            <w:pPr>
              <w:rPr>
                <w:rFonts w:ascii="Times New Roman" w:eastAsiaTheme="minorHAnsi" w:hAnsi="Times New Roman" w:cs="Times New Roman"/>
                <w:color w:val="000000" w:themeColor="text1"/>
              </w:rPr>
            </w:pPr>
          </w:p>
        </w:tc>
        <w:tc>
          <w:tcPr>
            <w:tcW w:w="2590" w:type="dxa"/>
          </w:tcPr>
          <w:p w14:paraId="0E22FA5B" w14:textId="77777777" w:rsidR="00545875" w:rsidRPr="00154211" w:rsidRDefault="00545875" w:rsidP="00545875">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t>The purpose of this study is to explore online privacy using the perspective of cultural relativism (</w:t>
            </w:r>
            <w:proofErr w:type="spellStart"/>
            <w:r w:rsidRPr="00154211">
              <w:rPr>
                <w:rFonts w:ascii="Times New Roman" w:eastAsiaTheme="minorHAnsi" w:hAnsi="Times New Roman" w:cs="Times New Roman"/>
                <w:color w:val="000000" w:themeColor="text1"/>
                <w:highlight w:val="yellow"/>
              </w:rPr>
              <w:t>Yeniyurt</w:t>
            </w:r>
            <w:proofErr w:type="spellEnd"/>
            <w:r w:rsidRPr="00154211">
              <w:rPr>
                <w:rFonts w:ascii="Times New Roman" w:eastAsiaTheme="minorHAnsi" w:hAnsi="Times New Roman" w:cs="Times New Roman"/>
                <w:color w:val="000000" w:themeColor="text1"/>
                <w:highlight w:val="yellow"/>
              </w:rPr>
              <w:t xml:space="preserve"> and Townsend, 2003</w:t>
            </w:r>
            <w:r w:rsidRPr="00154211">
              <w:rPr>
                <w:rFonts w:ascii="Times New Roman" w:eastAsiaTheme="minorHAnsi" w:hAnsi="Times New Roman" w:cs="Times New Roman"/>
                <w:color w:val="000000" w:themeColor="text1"/>
              </w:rPr>
              <w:t xml:space="preserve"> as cited by Cho, Rivera-Sánchez, Lim, 2009, p. 396).</w:t>
            </w:r>
          </w:p>
          <w:p w14:paraId="391D7252" w14:textId="77777777" w:rsidR="00545875" w:rsidRPr="00154211" w:rsidRDefault="00545875" w:rsidP="00545875">
            <w:pPr>
              <w:rPr>
                <w:rFonts w:ascii="Times New Roman" w:eastAsiaTheme="minorHAnsi" w:hAnsi="Times New Roman" w:cs="Times New Roman"/>
                <w:color w:val="000000" w:themeColor="text1"/>
              </w:rPr>
            </w:pPr>
          </w:p>
        </w:tc>
      </w:tr>
      <w:tr w:rsidR="00860910" w:rsidRPr="00154211" w14:paraId="2773B410" w14:textId="77777777" w:rsidTr="004836DC">
        <w:tc>
          <w:tcPr>
            <w:tcW w:w="2590" w:type="dxa"/>
          </w:tcPr>
          <w:p w14:paraId="1C71C4F1" w14:textId="77777777" w:rsidR="00860910" w:rsidRPr="00154211" w:rsidRDefault="00860910" w:rsidP="004836DC">
            <w:pPr>
              <w:rPr>
                <w:rFonts w:ascii="Times New Roman" w:eastAsiaTheme="minorHAnsi" w:hAnsi="Times New Roman" w:cs="Times New Roman"/>
                <w:color w:val="000000" w:themeColor="text1"/>
              </w:rPr>
            </w:pPr>
          </w:p>
        </w:tc>
        <w:tc>
          <w:tcPr>
            <w:tcW w:w="2590" w:type="dxa"/>
          </w:tcPr>
          <w:p w14:paraId="539D0015" w14:textId="77777777" w:rsidR="00860910" w:rsidRPr="00154211" w:rsidRDefault="00860910">
            <w:pPr>
              <w:rPr>
                <w:rFonts w:ascii="Times New Roman" w:hAnsi="Times New Roman" w:cs="Times New Roman"/>
              </w:rPr>
            </w:pPr>
          </w:p>
        </w:tc>
        <w:tc>
          <w:tcPr>
            <w:tcW w:w="2590" w:type="dxa"/>
          </w:tcPr>
          <w:p w14:paraId="2E27B814" w14:textId="77777777" w:rsidR="00154211" w:rsidRPr="00154211" w:rsidRDefault="00154211" w:rsidP="00154211">
            <w:pPr>
              <w:rPr>
                <w:rFonts w:ascii="Times New Roman" w:hAnsi="Times New Roman" w:cs="Times New Roman"/>
              </w:rPr>
            </w:pPr>
            <w:r w:rsidRPr="00154211">
              <w:rPr>
                <w:rFonts w:ascii="Times New Roman" w:hAnsi="Times New Roman" w:cs="Times New Roman"/>
              </w:rPr>
              <w:t xml:space="preserve">The disclosure of information to unintended audiences discredits the construction of roles and identities within the group and causes “difficult problems in impression </w:t>
            </w:r>
            <w:r w:rsidRPr="00154211">
              <w:rPr>
                <w:rFonts w:ascii="Times New Roman" w:hAnsi="Times New Roman" w:cs="Times New Roman"/>
              </w:rPr>
              <w:lastRenderedPageBreak/>
              <w:t>management” (</w:t>
            </w:r>
            <w:r w:rsidRPr="00154211">
              <w:rPr>
                <w:rFonts w:ascii="Times New Roman" w:hAnsi="Times New Roman" w:cs="Times New Roman"/>
                <w:highlight w:val="yellow"/>
              </w:rPr>
              <w:t>Goffman, 1959 , p. 139  as cited</w:t>
            </w:r>
            <w:r w:rsidRPr="00154211">
              <w:rPr>
                <w:rFonts w:ascii="Times New Roman" w:hAnsi="Times New Roman" w:cs="Times New Roman"/>
              </w:rPr>
              <w:t xml:space="preserve"> by Abril, Levin, Del </w:t>
            </w:r>
            <w:proofErr w:type="spellStart"/>
            <w:r w:rsidRPr="00154211">
              <w:rPr>
                <w:rFonts w:ascii="Times New Roman" w:hAnsi="Times New Roman" w:cs="Times New Roman"/>
              </w:rPr>
              <w:t>Riego</w:t>
            </w:r>
            <w:proofErr w:type="spellEnd"/>
            <w:r w:rsidRPr="00154211">
              <w:rPr>
                <w:rFonts w:ascii="Times New Roman" w:hAnsi="Times New Roman" w:cs="Times New Roman"/>
              </w:rPr>
              <w:t>, 2012, p. 64).</w:t>
            </w:r>
          </w:p>
          <w:p w14:paraId="4918F7C0" w14:textId="77777777" w:rsidR="00860910" w:rsidRPr="00154211" w:rsidRDefault="00860910" w:rsidP="00860910">
            <w:pPr>
              <w:rPr>
                <w:rFonts w:ascii="Times New Roman" w:eastAsiaTheme="minorHAnsi" w:hAnsi="Times New Roman" w:cs="Times New Roman"/>
                <w:color w:val="000000" w:themeColor="text1"/>
              </w:rPr>
            </w:pPr>
          </w:p>
        </w:tc>
        <w:tc>
          <w:tcPr>
            <w:tcW w:w="2590" w:type="dxa"/>
          </w:tcPr>
          <w:p w14:paraId="1CCF80AA" w14:textId="77777777" w:rsidR="00860910" w:rsidRPr="00154211" w:rsidRDefault="00860910" w:rsidP="00860910">
            <w:pPr>
              <w:rPr>
                <w:rFonts w:ascii="Times New Roman" w:eastAsiaTheme="minorHAnsi" w:hAnsi="Times New Roman" w:cs="Times New Roman"/>
                <w:color w:val="000000" w:themeColor="text1"/>
              </w:rPr>
            </w:pPr>
            <w:r w:rsidRPr="00154211">
              <w:rPr>
                <w:rFonts w:ascii="Times New Roman" w:eastAsiaTheme="minorHAnsi" w:hAnsi="Times New Roman" w:cs="Times New Roman"/>
                <w:color w:val="000000" w:themeColor="text1"/>
              </w:rPr>
              <w:lastRenderedPageBreak/>
              <w:t>In general, older people (</w:t>
            </w:r>
            <w:r w:rsidRPr="00154211">
              <w:rPr>
                <w:rFonts w:ascii="Times New Roman" w:eastAsiaTheme="minorHAnsi" w:hAnsi="Times New Roman" w:cs="Times New Roman"/>
                <w:color w:val="000000" w:themeColor="text1"/>
                <w:highlight w:val="yellow"/>
              </w:rPr>
              <w:t>Bellman et al., 2004</w:t>
            </w:r>
            <w:r w:rsidRPr="00154211">
              <w:rPr>
                <w:rFonts w:ascii="Times New Roman" w:eastAsiaTheme="minorHAnsi" w:hAnsi="Times New Roman" w:cs="Times New Roman"/>
                <w:color w:val="000000" w:themeColor="text1"/>
              </w:rPr>
              <w:t xml:space="preserve">) and better educated individuals were more concerned about online privacy since they became more sensitive to, or more aware of, potential privacy </w:t>
            </w:r>
            <w:r w:rsidRPr="00154211">
              <w:rPr>
                <w:rFonts w:ascii="Times New Roman" w:eastAsiaTheme="minorHAnsi" w:hAnsi="Times New Roman" w:cs="Times New Roman"/>
                <w:color w:val="000000" w:themeColor="text1"/>
              </w:rPr>
              <w:lastRenderedPageBreak/>
              <w:t>problems (</w:t>
            </w:r>
            <w:r w:rsidRPr="00154211">
              <w:rPr>
                <w:rFonts w:ascii="Times New Roman" w:eastAsiaTheme="minorHAnsi" w:hAnsi="Times New Roman" w:cs="Times New Roman"/>
                <w:color w:val="000000" w:themeColor="text1"/>
                <w:highlight w:val="yellow"/>
              </w:rPr>
              <w:t xml:space="preserve">Milne and Gordon, 1994: wang and </w:t>
            </w:r>
            <w:proofErr w:type="spellStart"/>
            <w:r w:rsidRPr="00154211">
              <w:rPr>
                <w:rFonts w:ascii="Times New Roman" w:eastAsiaTheme="minorHAnsi" w:hAnsi="Times New Roman" w:cs="Times New Roman"/>
                <w:color w:val="000000" w:themeColor="text1"/>
                <w:highlight w:val="yellow"/>
              </w:rPr>
              <w:t>Petrison</w:t>
            </w:r>
            <w:proofErr w:type="spellEnd"/>
            <w:r w:rsidRPr="00154211">
              <w:rPr>
                <w:rFonts w:ascii="Times New Roman" w:eastAsiaTheme="minorHAnsi" w:hAnsi="Times New Roman" w:cs="Times New Roman"/>
                <w:color w:val="000000" w:themeColor="text1"/>
                <w:highlight w:val="yellow"/>
              </w:rPr>
              <w:t>, 1993</w:t>
            </w:r>
            <w:r w:rsidRPr="00154211">
              <w:rPr>
                <w:rFonts w:ascii="Times New Roman" w:eastAsiaTheme="minorHAnsi" w:hAnsi="Times New Roman" w:cs="Times New Roman"/>
                <w:color w:val="000000" w:themeColor="text1"/>
              </w:rPr>
              <w:t xml:space="preserve"> as cited by Cho, Rivera-Sánchez, Lim, 2009, p. 397).</w:t>
            </w:r>
          </w:p>
          <w:p w14:paraId="5DE55D96" w14:textId="77777777" w:rsidR="00860910" w:rsidRPr="00154211" w:rsidRDefault="00860910" w:rsidP="00860910">
            <w:pPr>
              <w:rPr>
                <w:rFonts w:ascii="Times New Roman" w:eastAsiaTheme="minorHAnsi" w:hAnsi="Times New Roman" w:cs="Times New Roman"/>
                <w:color w:val="000000" w:themeColor="text1"/>
              </w:rPr>
            </w:pPr>
          </w:p>
        </w:tc>
        <w:tc>
          <w:tcPr>
            <w:tcW w:w="2590" w:type="dxa"/>
          </w:tcPr>
          <w:p w14:paraId="43441F5B" w14:textId="77777777" w:rsidR="00860910" w:rsidRPr="00154211" w:rsidRDefault="00860910" w:rsidP="00545875">
            <w:pPr>
              <w:rPr>
                <w:rFonts w:ascii="Times New Roman" w:eastAsiaTheme="minorHAnsi" w:hAnsi="Times New Roman" w:cs="Times New Roman"/>
                <w:color w:val="000000" w:themeColor="text1"/>
              </w:rPr>
            </w:pPr>
          </w:p>
        </w:tc>
      </w:tr>
    </w:tbl>
    <w:p w14:paraId="550B0248" w14:textId="77777777" w:rsidR="00312E8B" w:rsidRPr="00154211" w:rsidRDefault="00D4519E">
      <w:pPr>
        <w:rPr>
          <w:rFonts w:ascii="Times New Roman" w:hAnsi="Times New Roman" w:cs="Times New Roman"/>
        </w:rPr>
      </w:pPr>
    </w:p>
    <w:sectPr w:rsidR="00312E8B" w:rsidRPr="00154211" w:rsidSect="00083BE4">
      <w:headerReference w:type="default" r:id="rId6"/>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933DF3" w14:textId="77777777" w:rsidR="00D4519E" w:rsidRDefault="00D4519E" w:rsidP="00083BE4">
      <w:r>
        <w:separator/>
      </w:r>
    </w:p>
  </w:endnote>
  <w:endnote w:type="continuationSeparator" w:id="0">
    <w:p w14:paraId="688A28D9" w14:textId="77777777" w:rsidR="00D4519E" w:rsidRDefault="00D4519E" w:rsidP="00083B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5CE1B5" w14:textId="77777777" w:rsidR="00D4519E" w:rsidRDefault="00D4519E" w:rsidP="00083BE4">
      <w:r>
        <w:separator/>
      </w:r>
    </w:p>
  </w:footnote>
  <w:footnote w:type="continuationSeparator" w:id="0">
    <w:p w14:paraId="5DF6AA6B" w14:textId="77777777" w:rsidR="00D4519E" w:rsidRDefault="00D4519E" w:rsidP="00083B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7A11F2" w14:textId="7C73A77E" w:rsidR="00083BE4" w:rsidRDefault="00083BE4">
    <w:pPr>
      <w:pStyle w:val="Header"/>
    </w:pPr>
    <w:r>
      <w:t>Online Privacy- Lit Review</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BE4"/>
    <w:rsid w:val="00083BE4"/>
    <w:rsid w:val="00154211"/>
    <w:rsid w:val="001F223D"/>
    <w:rsid w:val="004761FC"/>
    <w:rsid w:val="004836DC"/>
    <w:rsid w:val="00545875"/>
    <w:rsid w:val="007B7533"/>
    <w:rsid w:val="00860910"/>
    <w:rsid w:val="0087393C"/>
    <w:rsid w:val="00AE0976"/>
    <w:rsid w:val="00B7049D"/>
    <w:rsid w:val="00BA3BDD"/>
    <w:rsid w:val="00D4519E"/>
    <w:rsid w:val="00DF0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7B8CE9"/>
  <w14:defaultImageDpi w14:val="32767"/>
  <w15:chartTrackingRefBased/>
  <w15:docId w15:val="{5EEBC183-5B2D-614E-8626-2C1117181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3BE4"/>
    <w:pPr>
      <w:tabs>
        <w:tab w:val="center" w:pos="4680"/>
        <w:tab w:val="right" w:pos="9360"/>
      </w:tabs>
    </w:pPr>
  </w:style>
  <w:style w:type="character" w:customStyle="1" w:styleId="HeaderChar">
    <w:name w:val="Header Char"/>
    <w:basedOn w:val="DefaultParagraphFont"/>
    <w:link w:val="Header"/>
    <w:uiPriority w:val="99"/>
    <w:rsid w:val="00083BE4"/>
    <w:rPr>
      <w:rFonts w:eastAsiaTheme="minorEastAsia"/>
    </w:rPr>
  </w:style>
  <w:style w:type="paragraph" w:styleId="Footer">
    <w:name w:val="footer"/>
    <w:basedOn w:val="Normal"/>
    <w:link w:val="FooterChar"/>
    <w:uiPriority w:val="99"/>
    <w:unhideWhenUsed/>
    <w:rsid w:val="00083BE4"/>
    <w:pPr>
      <w:tabs>
        <w:tab w:val="center" w:pos="4680"/>
        <w:tab w:val="right" w:pos="9360"/>
      </w:tabs>
    </w:pPr>
  </w:style>
  <w:style w:type="character" w:customStyle="1" w:styleId="FooterChar">
    <w:name w:val="Footer Char"/>
    <w:basedOn w:val="DefaultParagraphFont"/>
    <w:link w:val="Footer"/>
    <w:uiPriority w:val="99"/>
    <w:rsid w:val="00083BE4"/>
    <w:rPr>
      <w:rFonts w:eastAsiaTheme="minorEastAsia"/>
    </w:rPr>
  </w:style>
  <w:style w:type="table" w:styleId="TableGrid">
    <w:name w:val="Table Grid"/>
    <w:basedOn w:val="TableNormal"/>
    <w:uiPriority w:val="39"/>
    <w:rsid w:val="00483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982</Words>
  <Characters>5600</Characters>
  <Application>Microsoft Office Word</Application>
  <DocSecurity>0</DocSecurity>
  <Lines>46</Lines>
  <Paragraphs>13</Paragraphs>
  <ScaleCrop>false</ScaleCrop>
  <Company/>
  <LinksUpToDate>false</LinksUpToDate>
  <CharactersWithSpaces>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2020-09-03T01:29:00Z</dcterms:created>
  <dcterms:modified xsi:type="dcterms:W3CDTF">2020-09-03T01:40:00Z</dcterms:modified>
</cp:coreProperties>
</file>