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F5711B" w14:paraId="71217753" w14:textId="77777777" w:rsidTr="00F5711B">
        <w:tc>
          <w:tcPr>
            <w:tcW w:w="2590" w:type="dxa"/>
          </w:tcPr>
          <w:p w14:paraId="4265B9E5" w14:textId="37F447BF" w:rsidR="00F5711B" w:rsidRPr="00F5711B" w:rsidRDefault="00F5711B">
            <w:pPr>
              <w:rPr>
                <w:b/>
                <w:bCs/>
              </w:rPr>
            </w:pPr>
            <w:r w:rsidRPr="00F5711B">
              <w:rPr>
                <w:b/>
                <w:bCs/>
              </w:rPr>
              <w:t>Employer Benefit</w:t>
            </w:r>
          </w:p>
        </w:tc>
        <w:tc>
          <w:tcPr>
            <w:tcW w:w="2590" w:type="dxa"/>
          </w:tcPr>
          <w:p w14:paraId="53995ED5" w14:textId="0EC17099" w:rsidR="00F5711B" w:rsidRPr="00F5711B" w:rsidRDefault="00F5711B">
            <w:pPr>
              <w:rPr>
                <w:b/>
                <w:bCs/>
              </w:rPr>
            </w:pPr>
            <w:r w:rsidRPr="00F5711B">
              <w:rPr>
                <w:b/>
                <w:bCs/>
              </w:rPr>
              <w:t>Security</w:t>
            </w:r>
          </w:p>
        </w:tc>
        <w:tc>
          <w:tcPr>
            <w:tcW w:w="2590" w:type="dxa"/>
          </w:tcPr>
          <w:p w14:paraId="3DD7E6A6" w14:textId="39DB2993" w:rsidR="00F5711B" w:rsidRPr="00F5711B" w:rsidRDefault="00F5711B">
            <w:pPr>
              <w:rPr>
                <w:b/>
                <w:bCs/>
              </w:rPr>
            </w:pPr>
            <w:r w:rsidRPr="00F5711B">
              <w:rPr>
                <w:b/>
                <w:bCs/>
              </w:rPr>
              <w:t>Surveillance</w:t>
            </w:r>
          </w:p>
        </w:tc>
        <w:tc>
          <w:tcPr>
            <w:tcW w:w="2590" w:type="dxa"/>
          </w:tcPr>
          <w:p w14:paraId="1EB83CE8" w14:textId="1DEC0667" w:rsidR="00F5711B" w:rsidRPr="00F5711B" w:rsidRDefault="00F5711B" w:rsidP="00F5711B">
            <w:pPr>
              <w:jc w:val="center"/>
              <w:rPr>
                <w:b/>
                <w:bCs/>
              </w:rPr>
            </w:pPr>
            <w:r w:rsidRPr="00F5711B">
              <w:rPr>
                <w:b/>
                <w:bCs/>
              </w:rPr>
              <w:t>Privacy Concerns</w:t>
            </w:r>
          </w:p>
        </w:tc>
        <w:tc>
          <w:tcPr>
            <w:tcW w:w="2590" w:type="dxa"/>
          </w:tcPr>
          <w:p w14:paraId="1D055884" w14:textId="4FE9A530" w:rsidR="00F5711B" w:rsidRPr="00F5711B" w:rsidRDefault="00F5711B">
            <w:pPr>
              <w:rPr>
                <w:b/>
                <w:bCs/>
              </w:rPr>
            </w:pPr>
            <w:r w:rsidRPr="00F5711B">
              <w:rPr>
                <w:b/>
                <w:bCs/>
              </w:rPr>
              <w:t>Limitations</w:t>
            </w:r>
          </w:p>
        </w:tc>
      </w:tr>
      <w:tr w:rsidR="00F5711B" w14:paraId="137F64C3" w14:textId="77777777" w:rsidTr="00F5711B">
        <w:tc>
          <w:tcPr>
            <w:tcW w:w="2590" w:type="dxa"/>
          </w:tcPr>
          <w:p w14:paraId="60422307" w14:textId="77777777" w:rsidR="00F5711B" w:rsidRDefault="00F5711B" w:rsidP="00F5711B">
            <w:r>
              <w:t xml:space="preserve">Users gain convenience, while employers benefit from increased productivity and reduced IT expense (Lee, Warkentin, </w:t>
            </w:r>
            <w:proofErr w:type="spellStart"/>
            <w:r>
              <w:t>Crossler</w:t>
            </w:r>
            <w:proofErr w:type="spellEnd"/>
            <w:r>
              <w:t xml:space="preserve"> and </w:t>
            </w:r>
            <w:proofErr w:type="spellStart"/>
            <w:r>
              <w:t>Otondo</w:t>
            </w:r>
            <w:proofErr w:type="spellEnd"/>
            <w:r>
              <w:t>, 2017, abstract).</w:t>
            </w:r>
          </w:p>
          <w:p w14:paraId="2BEB8DE9" w14:textId="77777777" w:rsidR="00F5711B" w:rsidRDefault="00F5711B"/>
        </w:tc>
        <w:tc>
          <w:tcPr>
            <w:tcW w:w="2590" w:type="dxa"/>
          </w:tcPr>
          <w:p w14:paraId="355AEAED" w14:textId="77777777" w:rsidR="00F5711B" w:rsidRDefault="00F5711B" w:rsidP="00F5711B">
            <w:r>
              <w:t xml:space="preserve">Security boundaries must extend to personal deices to mitigate data exfiltration, thereby infringing on employees’ privacy by monitoring their personal devices (Lee, Warkentin, </w:t>
            </w:r>
            <w:proofErr w:type="spellStart"/>
            <w:r>
              <w:t>Crossler</w:t>
            </w:r>
            <w:proofErr w:type="spellEnd"/>
            <w:r>
              <w:t xml:space="preserve"> and </w:t>
            </w:r>
            <w:proofErr w:type="spellStart"/>
            <w:r>
              <w:t>Otondo</w:t>
            </w:r>
            <w:proofErr w:type="spellEnd"/>
            <w:r>
              <w:t>, 2017, abstract).</w:t>
            </w:r>
          </w:p>
          <w:p w14:paraId="06AFE6B6" w14:textId="77777777" w:rsidR="00F5711B" w:rsidRDefault="00F5711B"/>
        </w:tc>
        <w:tc>
          <w:tcPr>
            <w:tcW w:w="2590" w:type="dxa"/>
          </w:tcPr>
          <w:p w14:paraId="27D6B037" w14:textId="54F50360" w:rsidR="00F5711B" w:rsidRDefault="00A552E9" w:rsidP="00F5711B">
            <w:r>
              <w:t>T</w:t>
            </w:r>
            <w:r w:rsidR="00F5711B">
              <w:t xml:space="preserve">hese monitoring mechanisms play a critical role in employee participation in a BYOD program (Lee, Warkentin, </w:t>
            </w:r>
            <w:proofErr w:type="spellStart"/>
            <w:r w:rsidR="00F5711B">
              <w:t>Crossler</w:t>
            </w:r>
            <w:proofErr w:type="spellEnd"/>
            <w:r w:rsidR="00F5711B">
              <w:t xml:space="preserve"> and </w:t>
            </w:r>
            <w:proofErr w:type="spellStart"/>
            <w:r w:rsidR="00F5711B">
              <w:t>Otondo</w:t>
            </w:r>
            <w:proofErr w:type="spellEnd"/>
            <w:r w:rsidR="00F5711B">
              <w:t>, 2017, abstract).</w:t>
            </w:r>
          </w:p>
          <w:p w14:paraId="25327709" w14:textId="77777777" w:rsidR="00F5711B" w:rsidRDefault="00F5711B"/>
        </w:tc>
        <w:tc>
          <w:tcPr>
            <w:tcW w:w="2590" w:type="dxa"/>
          </w:tcPr>
          <w:p w14:paraId="5E45A3EB" w14:textId="77777777" w:rsidR="00F5711B" w:rsidRDefault="00F5711B" w:rsidP="00F5711B">
            <w:r>
              <w:t xml:space="preserve">Our results demonstrate that the BYOD monitoring mechanisms and privacy concerns suppress the benefits of increased job performance expectancy when evaluating whether to participate in a BYOD program (Lee, Warkentin, </w:t>
            </w:r>
            <w:proofErr w:type="spellStart"/>
            <w:r>
              <w:t>Crossler</w:t>
            </w:r>
            <w:proofErr w:type="spellEnd"/>
            <w:r>
              <w:t xml:space="preserve"> and </w:t>
            </w:r>
            <w:proofErr w:type="spellStart"/>
            <w:r>
              <w:t>Otondo</w:t>
            </w:r>
            <w:proofErr w:type="spellEnd"/>
            <w:r>
              <w:t>, 2017, abstract).</w:t>
            </w:r>
          </w:p>
          <w:p w14:paraId="1C0D6079" w14:textId="77777777" w:rsidR="00F5711B" w:rsidRDefault="00F5711B"/>
        </w:tc>
        <w:tc>
          <w:tcPr>
            <w:tcW w:w="2590" w:type="dxa"/>
          </w:tcPr>
          <w:p w14:paraId="416D96AD" w14:textId="77777777" w:rsidR="00F5711B" w:rsidRDefault="00F5711B" w:rsidP="00F5711B">
            <w:r>
              <w:t xml:space="preserve">This research identifies that tasks measured, frequency of monitoring, and organizational control are significant impediments to behavioral intention for BYOD participation (Lee, Warkentin, </w:t>
            </w:r>
            <w:proofErr w:type="spellStart"/>
            <w:r>
              <w:t>Crossler</w:t>
            </w:r>
            <w:proofErr w:type="spellEnd"/>
            <w:r>
              <w:t xml:space="preserve"> and </w:t>
            </w:r>
            <w:proofErr w:type="spellStart"/>
            <w:r>
              <w:t>Otondo</w:t>
            </w:r>
            <w:proofErr w:type="spellEnd"/>
            <w:r>
              <w:t>, 2017, abstract).</w:t>
            </w:r>
          </w:p>
          <w:p w14:paraId="483AD161" w14:textId="77777777" w:rsidR="00F5711B" w:rsidRDefault="00F5711B"/>
        </w:tc>
      </w:tr>
      <w:tr w:rsidR="00F5711B" w14:paraId="411544D4" w14:textId="77777777" w:rsidTr="00F5711B">
        <w:tc>
          <w:tcPr>
            <w:tcW w:w="2590" w:type="dxa"/>
          </w:tcPr>
          <w:p w14:paraId="568F561C" w14:textId="77777777" w:rsidR="00A552E9" w:rsidRPr="00906D87" w:rsidRDefault="00A552E9" w:rsidP="00A552E9">
            <w:pPr>
              <w:autoSpaceDE w:val="0"/>
              <w:autoSpaceDN w:val="0"/>
              <w:adjustRightInd w:val="0"/>
              <w:rPr>
                <w:rFonts w:ascii="Times New Roman" w:hAnsi="Times New Roman" w:cs="Times New Roman"/>
              </w:rPr>
            </w:pPr>
            <w:r>
              <w:rPr>
                <w:rFonts w:ascii="Times New Roman" w:hAnsi="Times New Roman" w:cs="Times New Roman"/>
              </w:rPr>
              <w:t xml:space="preserve">A gap has opened up between headteachers’ espoused values, educational philosophies and professional knowledges and neoliberal education reforms </w:t>
            </w:r>
            <w:r w:rsidRPr="00906D87">
              <w:rPr>
                <w:rFonts w:ascii="Times New Roman" w:hAnsi="Times New Roman" w:cs="Times New Roman"/>
              </w:rPr>
              <w:t xml:space="preserve">(Fuller, 2019, </w:t>
            </w:r>
            <w:r>
              <w:rPr>
                <w:rFonts w:ascii="Times New Roman" w:hAnsi="Times New Roman" w:cs="Times New Roman"/>
              </w:rPr>
              <w:t>p. 32</w:t>
            </w:r>
            <w:r w:rsidRPr="00906D87">
              <w:rPr>
                <w:rFonts w:ascii="Times New Roman" w:hAnsi="Times New Roman" w:cs="Times New Roman"/>
              </w:rPr>
              <w:t>).</w:t>
            </w:r>
          </w:p>
          <w:p w14:paraId="19493D3F" w14:textId="77777777" w:rsidR="00F5711B" w:rsidRDefault="00F5711B"/>
        </w:tc>
        <w:tc>
          <w:tcPr>
            <w:tcW w:w="2590" w:type="dxa"/>
          </w:tcPr>
          <w:p w14:paraId="7454BBA0" w14:textId="77777777" w:rsidR="00A552E9" w:rsidRDefault="00A552E9" w:rsidP="00A552E9">
            <w:pPr>
              <w:autoSpaceDE w:val="0"/>
              <w:autoSpaceDN w:val="0"/>
              <w:adjustRightInd w:val="0"/>
              <w:rPr>
                <w:rFonts w:ascii="Times New Roman" w:hAnsi="Times New Roman" w:cs="Times New Roman"/>
              </w:rPr>
            </w:pPr>
            <w:r>
              <w:rPr>
                <w:rFonts w:ascii="Times New Roman" w:hAnsi="Times New Roman" w:cs="Times New Roman"/>
              </w:rPr>
              <w:t>Discourses of risk and crisis have facilitated colonization by engendering fear and precarity to perpetuate the ontological insecurity associated with changing constructions of what in education is, could and should be valued (</w:t>
            </w:r>
            <w:r w:rsidRPr="005514F9">
              <w:rPr>
                <w:rFonts w:ascii="Times New Roman" w:hAnsi="Times New Roman" w:cs="Times New Roman"/>
                <w:highlight w:val="yellow"/>
              </w:rPr>
              <w:t>Ball, 2003</w:t>
            </w:r>
            <w:r>
              <w:rPr>
                <w:rFonts w:ascii="Times New Roman" w:hAnsi="Times New Roman" w:cs="Times New Roman"/>
              </w:rPr>
              <w:t xml:space="preserve"> as cited by </w:t>
            </w:r>
            <w:r w:rsidRPr="00906D87">
              <w:rPr>
                <w:rFonts w:ascii="Times New Roman" w:hAnsi="Times New Roman" w:cs="Times New Roman"/>
              </w:rPr>
              <w:t xml:space="preserve">Fuller, 2019, </w:t>
            </w:r>
            <w:r>
              <w:rPr>
                <w:rFonts w:ascii="Times New Roman" w:hAnsi="Times New Roman" w:cs="Times New Roman"/>
              </w:rPr>
              <w:t>p. 32</w:t>
            </w:r>
            <w:r w:rsidRPr="00906D87">
              <w:rPr>
                <w:rFonts w:ascii="Times New Roman" w:hAnsi="Times New Roman" w:cs="Times New Roman"/>
              </w:rPr>
              <w:t>).</w:t>
            </w:r>
          </w:p>
          <w:p w14:paraId="29BF5A67" w14:textId="77777777" w:rsidR="00F5711B" w:rsidRDefault="00F5711B"/>
        </w:tc>
        <w:tc>
          <w:tcPr>
            <w:tcW w:w="2590" w:type="dxa"/>
          </w:tcPr>
          <w:p w14:paraId="2CFBE3F5" w14:textId="77777777" w:rsidR="00F5711B" w:rsidRDefault="00F5711B"/>
        </w:tc>
        <w:tc>
          <w:tcPr>
            <w:tcW w:w="2590" w:type="dxa"/>
          </w:tcPr>
          <w:p w14:paraId="5664ECDE" w14:textId="77777777" w:rsidR="00F5711B" w:rsidRDefault="00F5711B"/>
        </w:tc>
        <w:tc>
          <w:tcPr>
            <w:tcW w:w="2590" w:type="dxa"/>
          </w:tcPr>
          <w:p w14:paraId="130A5264" w14:textId="77777777" w:rsidR="00A552E9" w:rsidRDefault="00A552E9" w:rsidP="00A552E9">
            <w:pPr>
              <w:autoSpaceDE w:val="0"/>
              <w:autoSpaceDN w:val="0"/>
              <w:adjustRightInd w:val="0"/>
              <w:rPr>
                <w:rFonts w:ascii="Times New Roman" w:hAnsi="Times New Roman" w:cs="Times New Roman"/>
              </w:rPr>
            </w:pPr>
            <w:r>
              <w:rPr>
                <w:rFonts w:ascii="Times New Roman" w:hAnsi="Times New Roman" w:cs="Times New Roman"/>
              </w:rPr>
              <w:t>The totalitarianism of dictated education policy, surveillance and punitive accountability destroys the soul (</w:t>
            </w:r>
            <w:r w:rsidRPr="003218EF">
              <w:rPr>
                <w:rFonts w:ascii="Times New Roman" w:hAnsi="Times New Roman" w:cs="Times New Roman"/>
                <w:highlight w:val="yellow"/>
              </w:rPr>
              <w:t>Ball, 2003, Ball &amp; Olmedo, 2013, Gunter, 2014, Stevenson &amp; Wood,</w:t>
            </w:r>
            <w:r>
              <w:rPr>
                <w:rFonts w:ascii="Times New Roman" w:hAnsi="Times New Roman" w:cs="Times New Roman"/>
              </w:rPr>
              <w:t xml:space="preserve"> 2013 as cited by </w:t>
            </w:r>
            <w:r w:rsidRPr="00906D87">
              <w:rPr>
                <w:rFonts w:ascii="Times New Roman" w:hAnsi="Times New Roman" w:cs="Times New Roman"/>
              </w:rPr>
              <w:t xml:space="preserve">Fuller, 2019, </w:t>
            </w:r>
            <w:r>
              <w:rPr>
                <w:rFonts w:ascii="Times New Roman" w:hAnsi="Times New Roman" w:cs="Times New Roman"/>
              </w:rPr>
              <w:t>p. 32</w:t>
            </w:r>
            <w:r w:rsidRPr="00906D87">
              <w:rPr>
                <w:rFonts w:ascii="Times New Roman" w:hAnsi="Times New Roman" w:cs="Times New Roman"/>
              </w:rPr>
              <w:t>).</w:t>
            </w:r>
          </w:p>
          <w:p w14:paraId="78DFE9B2" w14:textId="77777777" w:rsidR="00F5711B" w:rsidRDefault="00F5711B"/>
        </w:tc>
      </w:tr>
    </w:tbl>
    <w:p w14:paraId="067D5487" w14:textId="474DA899" w:rsidR="00282028" w:rsidRDefault="00282028"/>
    <w:sectPr w:rsidR="00282028" w:rsidSect="005565EB">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C8605" w14:textId="77777777" w:rsidR="00431F58" w:rsidRDefault="00431F58" w:rsidP="005565EB">
      <w:r>
        <w:separator/>
      </w:r>
    </w:p>
  </w:endnote>
  <w:endnote w:type="continuationSeparator" w:id="0">
    <w:p w14:paraId="28789AFA" w14:textId="77777777" w:rsidR="00431F58" w:rsidRDefault="00431F58" w:rsidP="00556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06439D" w14:textId="77777777" w:rsidR="00431F58" w:rsidRDefault="00431F58" w:rsidP="005565EB">
      <w:r>
        <w:separator/>
      </w:r>
    </w:p>
  </w:footnote>
  <w:footnote w:type="continuationSeparator" w:id="0">
    <w:p w14:paraId="6631FC1B" w14:textId="77777777" w:rsidR="00431F58" w:rsidRDefault="00431F58" w:rsidP="005565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B157DA" w14:textId="6777698B" w:rsidR="005565EB" w:rsidRDefault="005565EB">
    <w:pPr>
      <w:pStyle w:val="Header"/>
    </w:pPr>
    <w:r>
      <w:t>Monitoring BYOD-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028"/>
    <w:rsid w:val="001F223D"/>
    <w:rsid w:val="00282028"/>
    <w:rsid w:val="00431F58"/>
    <w:rsid w:val="004761FC"/>
    <w:rsid w:val="005565EB"/>
    <w:rsid w:val="0087393C"/>
    <w:rsid w:val="00A552E9"/>
    <w:rsid w:val="00B7049D"/>
    <w:rsid w:val="00BA3BDD"/>
    <w:rsid w:val="00DF0F74"/>
    <w:rsid w:val="00EF2224"/>
    <w:rsid w:val="00F57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79C509"/>
  <w14:defaultImageDpi w14:val="32767"/>
  <w15:chartTrackingRefBased/>
  <w15:docId w15:val="{233421C1-FD2C-C34D-B9D3-BA1EC8A9B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65EB"/>
    <w:pPr>
      <w:tabs>
        <w:tab w:val="center" w:pos="4680"/>
        <w:tab w:val="right" w:pos="9360"/>
      </w:tabs>
    </w:pPr>
  </w:style>
  <w:style w:type="character" w:customStyle="1" w:styleId="HeaderChar">
    <w:name w:val="Header Char"/>
    <w:basedOn w:val="DefaultParagraphFont"/>
    <w:link w:val="Header"/>
    <w:uiPriority w:val="99"/>
    <w:rsid w:val="005565EB"/>
    <w:rPr>
      <w:rFonts w:eastAsiaTheme="minorEastAsia"/>
    </w:rPr>
  </w:style>
  <w:style w:type="paragraph" w:styleId="Footer">
    <w:name w:val="footer"/>
    <w:basedOn w:val="Normal"/>
    <w:link w:val="FooterChar"/>
    <w:uiPriority w:val="99"/>
    <w:unhideWhenUsed/>
    <w:rsid w:val="005565EB"/>
    <w:pPr>
      <w:tabs>
        <w:tab w:val="center" w:pos="4680"/>
        <w:tab w:val="right" w:pos="9360"/>
      </w:tabs>
    </w:pPr>
  </w:style>
  <w:style w:type="character" w:customStyle="1" w:styleId="FooterChar">
    <w:name w:val="Footer Char"/>
    <w:basedOn w:val="DefaultParagraphFont"/>
    <w:link w:val="Footer"/>
    <w:uiPriority w:val="99"/>
    <w:rsid w:val="005565EB"/>
    <w:rPr>
      <w:rFonts w:eastAsiaTheme="minorEastAsia"/>
    </w:rPr>
  </w:style>
  <w:style w:type="table" w:styleId="TableGrid">
    <w:name w:val="Table Grid"/>
    <w:basedOn w:val="TableNormal"/>
    <w:uiPriority w:val="39"/>
    <w:rsid w:val="00F571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259</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2020-09-02T00:49:00Z</dcterms:created>
  <dcterms:modified xsi:type="dcterms:W3CDTF">2020-09-02T17:48:00Z</dcterms:modified>
</cp:coreProperties>
</file>