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07"/>
        <w:gridCol w:w="2499"/>
        <w:gridCol w:w="2503"/>
        <w:gridCol w:w="2949"/>
        <w:gridCol w:w="2492"/>
      </w:tblGrid>
      <w:tr w:rsidR="00D65F99" w14:paraId="32002F6E" w14:textId="77777777" w:rsidTr="00D65F99">
        <w:tc>
          <w:tcPr>
            <w:tcW w:w="2590" w:type="dxa"/>
          </w:tcPr>
          <w:p w14:paraId="67FC27D8" w14:textId="5307273B" w:rsidR="00D65F99" w:rsidRPr="007D6378" w:rsidRDefault="00D65F99">
            <w:pPr>
              <w:rPr>
                <w:b/>
                <w:bCs/>
              </w:rPr>
            </w:pPr>
            <w:r w:rsidRPr="007D6378">
              <w:rPr>
                <w:b/>
                <w:bCs/>
              </w:rPr>
              <w:t>Role</w:t>
            </w:r>
          </w:p>
        </w:tc>
        <w:tc>
          <w:tcPr>
            <w:tcW w:w="2590" w:type="dxa"/>
          </w:tcPr>
          <w:p w14:paraId="4F91669B" w14:textId="66B9DC6A" w:rsidR="00D65F99" w:rsidRPr="007D6378" w:rsidRDefault="00D65F99">
            <w:pPr>
              <w:rPr>
                <w:b/>
                <w:bCs/>
              </w:rPr>
            </w:pPr>
            <w:r w:rsidRPr="007D6378">
              <w:rPr>
                <w:b/>
                <w:bCs/>
              </w:rPr>
              <w:t>University regulations</w:t>
            </w:r>
          </w:p>
        </w:tc>
        <w:tc>
          <w:tcPr>
            <w:tcW w:w="2590" w:type="dxa"/>
          </w:tcPr>
          <w:p w14:paraId="181A19AF" w14:textId="4AB6A0B0" w:rsidR="00D65F99" w:rsidRPr="007D6378" w:rsidRDefault="007D6378">
            <w:pPr>
              <w:rPr>
                <w:b/>
                <w:bCs/>
              </w:rPr>
            </w:pPr>
            <w:r>
              <w:rPr>
                <w:b/>
                <w:bCs/>
              </w:rPr>
              <w:t>T</w:t>
            </w:r>
            <w:r w:rsidR="00D65F99" w:rsidRPr="007D6378">
              <w:rPr>
                <w:b/>
                <w:bCs/>
              </w:rPr>
              <w:t>ension</w:t>
            </w:r>
          </w:p>
        </w:tc>
        <w:tc>
          <w:tcPr>
            <w:tcW w:w="2590" w:type="dxa"/>
          </w:tcPr>
          <w:p w14:paraId="3C580C17" w14:textId="089F8C1D" w:rsidR="00D65F99" w:rsidRPr="007D6378" w:rsidRDefault="00D65F99">
            <w:pPr>
              <w:rPr>
                <w:b/>
                <w:bCs/>
              </w:rPr>
            </w:pPr>
            <w:r w:rsidRPr="007D6378">
              <w:rPr>
                <w:b/>
                <w:bCs/>
              </w:rPr>
              <w:t>Managing risk</w:t>
            </w:r>
          </w:p>
        </w:tc>
        <w:tc>
          <w:tcPr>
            <w:tcW w:w="2590" w:type="dxa"/>
          </w:tcPr>
          <w:p w14:paraId="18D4AD11" w14:textId="6DE90B19" w:rsidR="00D65F99" w:rsidRPr="007D6378" w:rsidRDefault="00D65F99">
            <w:pPr>
              <w:rPr>
                <w:b/>
                <w:bCs/>
              </w:rPr>
            </w:pPr>
            <w:r w:rsidRPr="007D6378">
              <w:rPr>
                <w:b/>
                <w:bCs/>
              </w:rPr>
              <w:t>Future Research</w:t>
            </w:r>
          </w:p>
        </w:tc>
      </w:tr>
      <w:tr w:rsidR="00D65F99" w14:paraId="2D472F75" w14:textId="77777777" w:rsidTr="00D65F99">
        <w:tc>
          <w:tcPr>
            <w:tcW w:w="2590" w:type="dxa"/>
          </w:tcPr>
          <w:p w14:paraId="291877E0"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There are 12 reported decisions between 1998 and 2016 involving student action against Australian universities, in particular, student claims of discrimination (</w:t>
            </w:r>
            <w:r w:rsidRPr="0044469E">
              <w:rPr>
                <w:rFonts w:ascii="Times New Roman" w:hAnsi="Times New Roman" w:cs="Times New Roman"/>
                <w:highlight w:val="yellow"/>
              </w:rPr>
              <w:t>14</w:t>
            </w:r>
            <w:r>
              <w:rPr>
                <w:rFonts w:ascii="Times New Roman" w:hAnsi="Times New Roman" w:cs="Times New Roman"/>
              </w:rPr>
              <w:t xml:space="preserve"> </w:t>
            </w:r>
            <w:r w:rsidRPr="00C50037">
              <w:rPr>
                <w:rFonts w:ascii="Times New Roman" w:hAnsi="Times New Roman" w:cs="Times New Roman"/>
                <w:highlight w:val="yellow"/>
              </w:rPr>
              <w:t>Cameron (2017)</w:t>
            </w:r>
            <w:r w:rsidRPr="0044469E">
              <w:rPr>
                <w:rFonts w:ascii="Times New Roman" w:hAnsi="Times New Roman" w:cs="Times New Roman"/>
              </w:rPr>
              <w:t xml:space="preserve"> as cited by Cameron, 2019, p. 31).</w:t>
            </w:r>
          </w:p>
          <w:p w14:paraId="4C286906" w14:textId="77777777" w:rsidR="00D65F99" w:rsidRDefault="00D65F99"/>
        </w:tc>
        <w:tc>
          <w:tcPr>
            <w:tcW w:w="2590" w:type="dxa"/>
          </w:tcPr>
          <w:p w14:paraId="75952F37"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Risk management is not only good business sense it is mandatory in the prevailing regulatory environment (Cameron, 2019, p. 31).</w:t>
            </w:r>
          </w:p>
          <w:p w14:paraId="4551F1C2" w14:textId="77777777" w:rsidR="00D65F99" w:rsidRDefault="00D65F99"/>
        </w:tc>
        <w:tc>
          <w:tcPr>
            <w:tcW w:w="2590" w:type="dxa"/>
          </w:tcPr>
          <w:p w14:paraId="2BDB914A"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A tension exists between supporting student welfare and providing legal advice to the student as the university and the student are interconnected (Cameron, 2019, p. 43).</w:t>
            </w:r>
          </w:p>
          <w:p w14:paraId="73B46C80" w14:textId="77777777" w:rsidR="00D65F99" w:rsidRDefault="00D65F99" w:rsidP="00D65F99"/>
        </w:tc>
        <w:tc>
          <w:tcPr>
            <w:tcW w:w="2590" w:type="dxa"/>
          </w:tcPr>
          <w:p w14:paraId="7781FFDF"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There are four main approaches to managing risk identified in higher education literature:</w:t>
            </w:r>
          </w:p>
          <w:p w14:paraId="51420A04" w14:textId="77777777" w:rsidR="00D65F99" w:rsidRPr="0044469E" w:rsidRDefault="00D65F99" w:rsidP="00D65F99">
            <w:pPr>
              <w:pStyle w:val="ListParagraph"/>
              <w:numPr>
                <w:ilvl w:val="0"/>
                <w:numId w:val="1"/>
              </w:numPr>
              <w:rPr>
                <w:rFonts w:ascii="Times New Roman" w:hAnsi="Times New Roman" w:cs="Times New Roman"/>
              </w:rPr>
            </w:pPr>
            <w:r w:rsidRPr="0044469E">
              <w:rPr>
                <w:rFonts w:ascii="Times New Roman" w:hAnsi="Times New Roman" w:cs="Times New Roman"/>
              </w:rPr>
              <w:t>Risk avoidance</w:t>
            </w:r>
          </w:p>
          <w:p w14:paraId="6D872CF8" w14:textId="77777777" w:rsidR="00D65F99" w:rsidRPr="0044469E" w:rsidRDefault="00D65F99" w:rsidP="00D65F99">
            <w:pPr>
              <w:pStyle w:val="ListParagraph"/>
              <w:numPr>
                <w:ilvl w:val="0"/>
                <w:numId w:val="1"/>
              </w:numPr>
              <w:rPr>
                <w:rFonts w:ascii="Times New Roman" w:hAnsi="Times New Roman" w:cs="Times New Roman"/>
              </w:rPr>
            </w:pPr>
            <w:r w:rsidRPr="0044469E">
              <w:rPr>
                <w:rFonts w:ascii="Times New Roman" w:hAnsi="Times New Roman" w:cs="Times New Roman"/>
              </w:rPr>
              <w:t>Risk control (or reduction)</w:t>
            </w:r>
          </w:p>
          <w:p w14:paraId="75D5070C" w14:textId="77777777" w:rsidR="00D65F99" w:rsidRPr="0044469E" w:rsidRDefault="00D65F99" w:rsidP="00D65F99">
            <w:pPr>
              <w:pStyle w:val="ListParagraph"/>
              <w:numPr>
                <w:ilvl w:val="0"/>
                <w:numId w:val="1"/>
              </w:numPr>
              <w:rPr>
                <w:rFonts w:ascii="Times New Roman" w:hAnsi="Times New Roman" w:cs="Times New Roman"/>
              </w:rPr>
            </w:pPr>
            <w:r w:rsidRPr="0044469E">
              <w:rPr>
                <w:rFonts w:ascii="Times New Roman" w:hAnsi="Times New Roman" w:cs="Times New Roman"/>
              </w:rPr>
              <w:t>Risk transfer (or shifting)</w:t>
            </w:r>
          </w:p>
          <w:p w14:paraId="087C595D" w14:textId="77777777" w:rsidR="00D65F99" w:rsidRPr="0044469E" w:rsidRDefault="00D65F99" w:rsidP="00D65F99">
            <w:pPr>
              <w:pStyle w:val="ListParagraph"/>
              <w:numPr>
                <w:ilvl w:val="0"/>
                <w:numId w:val="1"/>
              </w:numPr>
              <w:rPr>
                <w:rFonts w:ascii="Times New Roman" w:hAnsi="Times New Roman" w:cs="Times New Roman"/>
              </w:rPr>
            </w:pPr>
            <w:r w:rsidRPr="0044469E">
              <w:rPr>
                <w:rFonts w:ascii="Times New Roman" w:hAnsi="Times New Roman" w:cs="Times New Roman"/>
              </w:rPr>
              <w:t>Risk acceptance (or retention)</w:t>
            </w:r>
          </w:p>
          <w:p w14:paraId="257CFDF5" w14:textId="77777777" w:rsidR="00D65F99" w:rsidRPr="0044469E" w:rsidRDefault="00D65F99" w:rsidP="00D65F99">
            <w:pPr>
              <w:rPr>
                <w:rFonts w:ascii="Times New Roman" w:hAnsi="Times New Roman" w:cs="Times New Roman"/>
              </w:rPr>
            </w:pPr>
            <w:r w:rsidRPr="0044469E">
              <w:rPr>
                <w:rFonts w:ascii="Times New Roman" w:hAnsi="Times New Roman" w:cs="Times New Roman"/>
                <w:highlight w:val="yellow"/>
              </w:rPr>
              <w:t>(</w:t>
            </w:r>
            <w:r w:rsidRPr="00C50037">
              <w:rPr>
                <w:rFonts w:ascii="Times New Roman" w:hAnsi="Times New Roman" w:cs="Times New Roman"/>
                <w:highlight w:val="yellow"/>
              </w:rPr>
              <w:t>38Adams and Wall  (1976)</w:t>
            </w:r>
            <w:r>
              <w:rPr>
                <w:rFonts w:ascii="Times New Roman" w:hAnsi="Times New Roman" w:cs="Times New Roman"/>
              </w:rPr>
              <w:t xml:space="preserve"> </w:t>
            </w:r>
            <w:r w:rsidRPr="0044469E">
              <w:rPr>
                <w:rFonts w:ascii="Times New Roman" w:hAnsi="Times New Roman" w:cs="Times New Roman"/>
              </w:rPr>
              <w:t>(n 37) 360. as cited by Cameron, 2019, p. 35).</w:t>
            </w:r>
          </w:p>
          <w:p w14:paraId="6BB36036" w14:textId="77777777" w:rsidR="00D65F99" w:rsidRDefault="00D65F99"/>
        </w:tc>
        <w:tc>
          <w:tcPr>
            <w:tcW w:w="2590" w:type="dxa"/>
          </w:tcPr>
          <w:p w14:paraId="0DAE06E7" w14:textId="77777777" w:rsidR="00D65F99" w:rsidRDefault="00D65F99" w:rsidP="00D65F99">
            <w:pPr>
              <w:rPr>
                <w:rFonts w:ascii="Times New Roman" w:hAnsi="Times New Roman" w:cs="Times New Roman"/>
              </w:rPr>
            </w:pPr>
            <w:r>
              <w:rPr>
                <w:rFonts w:ascii="Times New Roman" w:hAnsi="Times New Roman" w:cs="Times New Roman"/>
              </w:rPr>
              <w:t xml:space="preserve">Future research could evaluate the actual wording of the WIL agreement terms, and other risk management practices of university lawyers, through legal (Black letter law) and/or empirical (university lawyers, university management, WIL staff) lenses </w:t>
            </w:r>
            <w:r w:rsidRPr="0044469E">
              <w:rPr>
                <w:rFonts w:ascii="Times New Roman" w:hAnsi="Times New Roman" w:cs="Times New Roman"/>
              </w:rPr>
              <w:t xml:space="preserve">(Cameron, 2019, p. </w:t>
            </w:r>
            <w:r>
              <w:rPr>
                <w:rFonts w:ascii="Times New Roman" w:hAnsi="Times New Roman" w:cs="Times New Roman"/>
              </w:rPr>
              <w:t>6</w:t>
            </w:r>
            <w:r w:rsidRPr="0044469E">
              <w:rPr>
                <w:rFonts w:ascii="Times New Roman" w:hAnsi="Times New Roman" w:cs="Times New Roman"/>
              </w:rPr>
              <w:t>4).</w:t>
            </w:r>
          </w:p>
          <w:p w14:paraId="5B7EDF3E" w14:textId="77777777" w:rsidR="00D65F99" w:rsidRDefault="00D65F99" w:rsidP="00D65F99"/>
        </w:tc>
      </w:tr>
      <w:tr w:rsidR="00D65F99" w14:paraId="63D38C79" w14:textId="77777777" w:rsidTr="00D65F99">
        <w:tc>
          <w:tcPr>
            <w:tcW w:w="2590" w:type="dxa"/>
          </w:tcPr>
          <w:p w14:paraId="2B1EB003" w14:textId="77777777" w:rsidR="00D65F99" w:rsidRPr="00C50037" w:rsidRDefault="00D65F99" w:rsidP="00D65F99">
            <w:pPr>
              <w:rPr>
                <w:rFonts w:ascii="Times New Roman" w:hAnsi="Times New Roman" w:cs="Times New Roman"/>
              </w:rPr>
            </w:pPr>
            <w:r w:rsidRPr="00C50037">
              <w:rPr>
                <w:rFonts w:ascii="Times New Roman" w:hAnsi="Times New Roman" w:cs="Times New Roman"/>
              </w:rPr>
              <w:t>The university lawyers discussed in this article represent the delivery of in-house legal services</w:t>
            </w:r>
          </w:p>
          <w:p w14:paraId="53531BE2" w14:textId="77777777" w:rsidR="00D65F99" w:rsidRPr="0044469E" w:rsidRDefault="00D65F99" w:rsidP="00D65F99">
            <w:pPr>
              <w:rPr>
                <w:rFonts w:ascii="Times New Roman" w:hAnsi="Times New Roman" w:cs="Times New Roman"/>
              </w:rPr>
            </w:pPr>
            <w:r w:rsidRPr="00C50037">
              <w:rPr>
                <w:rFonts w:ascii="Times New Roman" w:hAnsi="Times New Roman" w:cs="Times New Roman"/>
              </w:rPr>
              <w:t>(</w:t>
            </w:r>
            <w:r w:rsidRPr="00C50037">
              <w:rPr>
                <w:rFonts w:ascii="Times New Roman" w:hAnsi="Times New Roman" w:cs="Times New Roman"/>
                <w:highlight w:val="yellow"/>
              </w:rPr>
              <w:t>18 Tertiary Education Quality and Standards Agency,(2017</w:t>
            </w:r>
            <w:r w:rsidRPr="00C50037">
              <w:rPr>
                <w:rFonts w:ascii="Times New Roman" w:hAnsi="Times New Roman" w:cs="Times New Roman"/>
              </w:rPr>
              <w:t>) as</w:t>
            </w:r>
            <w:r w:rsidRPr="0044469E">
              <w:rPr>
                <w:rFonts w:ascii="Times New Roman" w:hAnsi="Times New Roman" w:cs="Times New Roman"/>
              </w:rPr>
              <w:t xml:space="preserve"> cited by Cameron, 2019, p. 31).</w:t>
            </w:r>
          </w:p>
          <w:p w14:paraId="1EF45E7E" w14:textId="77777777" w:rsidR="00D65F99" w:rsidRDefault="00D65F99"/>
        </w:tc>
        <w:tc>
          <w:tcPr>
            <w:tcW w:w="2590" w:type="dxa"/>
          </w:tcPr>
          <w:p w14:paraId="3EDFCC92"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To maintain registration as a higher education provider, the university must demonstrate that risks have been identified, managed and mitigated effectively, that WIL programs are quality assured (</w:t>
            </w:r>
            <w:r w:rsidRPr="0044469E">
              <w:rPr>
                <w:rFonts w:ascii="Times New Roman" w:hAnsi="Times New Roman" w:cs="Times New Roman"/>
                <w:highlight w:val="yellow"/>
              </w:rPr>
              <w:t>16</w:t>
            </w:r>
            <w:r w:rsidRPr="00C50037">
              <w:rPr>
                <w:rFonts w:ascii="Times New Roman" w:hAnsi="Times New Roman" w:cs="Times New Roman"/>
                <w:highlight w:val="yellow"/>
              </w:rPr>
              <w:t>, 17</w:t>
            </w:r>
            <w:r>
              <w:rPr>
                <w:rFonts w:ascii="Times New Roman" w:hAnsi="Times New Roman" w:cs="Times New Roman"/>
              </w:rPr>
              <w:t xml:space="preserve"> </w:t>
            </w:r>
            <w:r w:rsidRPr="00C50037">
              <w:rPr>
                <w:rFonts w:ascii="Times New Roman" w:hAnsi="Times New Roman" w:cs="Times New Roman"/>
                <w:highlight w:val="yellow"/>
              </w:rPr>
              <w:t>Higher Education Standards Framework (2015</w:t>
            </w:r>
            <w:r w:rsidRPr="00C50037">
              <w:rPr>
                <w:rFonts w:ascii="Times New Roman" w:hAnsi="Times New Roman" w:cs="Times New Roman"/>
              </w:rPr>
              <w:t>) as cited</w:t>
            </w:r>
            <w:r w:rsidRPr="0044469E">
              <w:rPr>
                <w:rFonts w:ascii="Times New Roman" w:hAnsi="Times New Roman" w:cs="Times New Roman"/>
              </w:rPr>
              <w:t xml:space="preserve"> by Cameron, 2019, p. 31).</w:t>
            </w:r>
          </w:p>
          <w:p w14:paraId="1FD9CA16" w14:textId="77777777" w:rsidR="00D65F99" w:rsidRDefault="00D65F99"/>
        </w:tc>
        <w:tc>
          <w:tcPr>
            <w:tcW w:w="2590" w:type="dxa"/>
          </w:tcPr>
          <w:p w14:paraId="36ADADBF"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The legal office cannot technically advice students because the client is the university (Cameron, 2019, p. 43).</w:t>
            </w:r>
          </w:p>
          <w:p w14:paraId="012A7E52" w14:textId="77777777" w:rsidR="00D65F99" w:rsidRDefault="00D65F99"/>
        </w:tc>
        <w:tc>
          <w:tcPr>
            <w:tcW w:w="2590" w:type="dxa"/>
          </w:tcPr>
          <w:p w14:paraId="47B8A279"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Examples of risk avoidance:</w:t>
            </w:r>
          </w:p>
          <w:p w14:paraId="113DD7D3" w14:textId="77777777" w:rsidR="00D65F99" w:rsidRPr="0044469E" w:rsidRDefault="00D65F99" w:rsidP="00D65F99">
            <w:pPr>
              <w:pStyle w:val="ListParagraph"/>
              <w:numPr>
                <w:ilvl w:val="0"/>
                <w:numId w:val="2"/>
              </w:numPr>
              <w:rPr>
                <w:rFonts w:ascii="Times New Roman" w:hAnsi="Times New Roman" w:cs="Times New Roman"/>
              </w:rPr>
            </w:pPr>
            <w:r w:rsidRPr="0044469E">
              <w:rPr>
                <w:rFonts w:ascii="Times New Roman" w:hAnsi="Times New Roman" w:cs="Times New Roman"/>
              </w:rPr>
              <w:t>Eliminating the activity</w:t>
            </w:r>
          </w:p>
          <w:p w14:paraId="0C8D614B" w14:textId="77777777" w:rsidR="00D65F99" w:rsidRPr="0044469E" w:rsidRDefault="00D65F99" w:rsidP="00D65F99">
            <w:pPr>
              <w:pStyle w:val="ListParagraph"/>
              <w:numPr>
                <w:ilvl w:val="0"/>
                <w:numId w:val="2"/>
              </w:numPr>
              <w:rPr>
                <w:rFonts w:ascii="Times New Roman" w:hAnsi="Times New Roman" w:cs="Times New Roman"/>
              </w:rPr>
            </w:pPr>
            <w:r w:rsidRPr="0044469E">
              <w:rPr>
                <w:rFonts w:ascii="Times New Roman" w:hAnsi="Times New Roman" w:cs="Times New Roman"/>
              </w:rPr>
              <w:t>Withdraw the WIL program from the curriculum</w:t>
            </w:r>
          </w:p>
          <w:p w14:paraId="26DA3118" w14:textId="77777777" w:rsidR="00D65F99" w:rsidRPr="0044469E" w:rsidRDefault="00D65F99" w:rsidP="00D65F99">
            <w:pPr>
              <w:pStyle w:val="ListParagraph"/>
              <w:numPr>
                <w:ilvl w:val="0"/>
                <w:numId w:val="2"/>
              </w:numPr>
              <w:rPr>
                <w:rFonts w:ascii="Times New Roman" w:hAnsi="Times New Roman" w:cs="Times New Roman"/>
              </w:rPr>
            </w:pPr>
            <w:r w:rsidRPr="0044469E">
              <w:rPr>
                <w:rFonts w:ascii="Times New Roman" w:hAnsi="Times New Roman" w:cs="Times New Roman"/>
              </w:rPr>
              <w:t>Remove a host organization from the list of potential placement sites</w:t>
            </w:r>
          </w:p>
          <w:p w14:paraId="1B9A3E10" w14:textId="77777777" w:rsidR="00D65F99" w:rsidRPr="0044469E" w:rsidRDefault="00D65F99" w:rsidP="00D65F99">
            <w:pPr>
              <w:rPr>
                <w:rFonts w:ascii="Times New Roman" w:hAnsi="Times New Roman" w:cs="Times New Roman"/>
              </w:rPr>
            </w:pPr>
            <w:r w:rsidRPr="0044469E">
              <w:rPr>
                <w:rFonts w:ascii="Times New Roman" w:hAnsi="Times New Roman" w:cs="Times New Roman"/>
                <w:highlight w:val="yellow"/>
              </w:rPr>
              <w:t>(</w:t>
            </w:r>
            <w:r w:rsidRPr="00C50037">
              <w:rPr>
                <w:rFonts w:ascii="Times New Roman" w:hAnsi="Times New Roman" w:cs="Times New Roman"/>
                <w:highlight w:val="yellow"/>
              </w:rPr>
              <w:t>41Miller (2010)</w:t>
            </w:r>
            <w:r w:rsidRPr="0044469E">
              <w:rPr>
                <w:rFonts w:ascii="Times New Roman" w:hAnsi="Times New Roman" w:cs="Times New Roman"/>
              </w:rPr>
              <w:t xml:space="preserve"> (n 37) 148–9. as cited by Cameron, 2019, p. 35).</w:t>
            </w:r>
          </w:p>
          <w:p w14:paraId="563CB879" w14:textId="77777777" w:rsidR="00D65F99" w:rsidRDefault="00D65F99"/>
        </w:tc>
        <w:tc>
          <w:tcPr>
            <w:tcW w:w="2590" w:type="dxa"/>
          </w:tcPr>
          <w:p w14:paraId="727DEBFF" w14:textId="77777777" w:rsidR="00D65F99" w:rsidRDefault="00D65F99"/>
        </w:tc>
      </w:tr>
      <w:tr w:rsidR="00D65F99" w14:paraId="6674F0AC" w14:textId="77777777" w:rsidTr="00D65F99">
        <w:tc>
          <w:tcPr>
            <w:tcW w:w="2590" w:type="dxa"/>
          </w:tcPr>
          <w:p w14:paraId="5A70AFF5"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 xml:space="preserve">The aim of this research is to provide </w:t>
            </w:r>
            <w:r w:rsidRPr="0044469E">
              <w:rPr>
                <w:rFonts w:ascii="Times New Roman" w:hAnsi="Times New Roman" w:cs="Times New Roman"/>
              </w:rPr>
              <w:lastRenderedPageBreak/>
              <w:t>greater awareness among university stakeholders, and the legal community about the role of university lawyers in higher education (Cameron, 2019, p. 32).</w:t>
            </w:r>
          </w:p>
          <w:p w14:paraId="1117CEEC" w14:textId="77777777" w:rsidR="00D65F99" w:rsidRDefault="00D65F99"/>
        </w:tc>
        <w:tc>
          <w:tcPr>
            <w:tcW w:w="2590" w:type="dxa"/>
          </w:tcPr>
          <w:p w14:paraId="0BA54909"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lastRenderedPageBreak/>
              <w:t>Risks undermine quality (</w:t>
            </w:r>
            <w:r w:rsidRPr="00C50037">
              <w:rPr>
                <w:rFonts w:ascii="Times New Roman" w:hAnsi="Times New Roman" w:cs="Times New Roman"/>
                <w:highlight w:val="yellow"/>
              </w:rPr>
              <w:t xml:space="preserve">18 Tertiary </w:t>
            </w:r>
            <w:r w:rsidRPr="00C50037">
              <w:rPr>
                <w:rFonts w:ascii="Times New Roman" w:hAnsi="Times New Roman" w:cs="Times New Roman"/>
                <w:highlight w:val="yellow"/>
              </w:rPr>
              <w:lastRenderedPageBreak/>
              <w:t>Education Quality and Standards Agency,(2017</w:t>
            </w:r>
            <w:r w:rsidRPr="0044469E">
              <w:rPr>
                <w:rFonts w:ascii="Times New Roman" w:hAnsi="Times New Roman" w:cs="Times New Roman"/>
              </w:rPr>
              <w:t xml:space="preserve"> as cited by Cameron, 2019, p. 31).</w:t>
            </w:r>
          </w:p>
          <w:p w14:paraId="5969ED47" w14:textId="77777777" w:rsidR="00D65F99" w:rsidRPr="0044469E" w:rsidRDefault="00D65F99" w:rsidP="00D65F99">
            <w:pPr>
              <w:rPr>
                <w:rFonts w:ascii="Times New Roman" w:hAnsi="Times New Roman" w:cs="Times New Roman"/>
              </w:rPr>
            </w:pPr>
          </w:p>
        </w:tc>
        <w:tc>
          <w:tcPr>
            <w:tcW w:w="2590" w:type="dxa"/>
          </w:tcPr>
          <w:p w14:paraId="582A2FA9"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lastRenderedPageBreak/>
              <w:t xml:space="preserve">For these reasons, WIL staff often act as </w:t>
            </w:r>
            <w:r w:rsidRPr="0044469E">
              <w:rPr>
                <w:rFonts w:ascii="Times New Roman" w:hAnsi="Times New Roman" w:cs="Times New Roman"/>
              </w:rPr>
              <w:lastRenderedPageBreak/>
              <w:t xml:space="preserve">intermediaries filtering advice they receive from the university lawyers to the student.  In this way student interests can be </w:t>
            </w:r>
            <w:proofErr w:type="gramStart"/>
            <w:r w:rsidRPr="0044469E">
              <w:rPr>
                <w:rFonts w:ascii="Times New Roman" w:hAnsi="Times New Roman" w:cs="Times New Roman"/>
              </w:rPr>
              <w:t>protected</w:t>
            </w:r>
            <w:proofErr w:type="gramEnd"/>
            <w:r w:rsidRPr="0044469E">
              <w:rPr>
                <w:rFonts w:ascii="Times New Roman" w:hAnsi="Times New Roman" w:cs="Times New Roman"/>
              </w:rPr>
              <w:t xml:space="preserve"> and risk managed without the university lawyer providing direct advice to the student (Cameron, 2019, p. 43).</w:t>
            </w:r>
          </w:p>
          <w:p w14:paraId="4FC0A9D0" w14:textId="77777777" w:rsidR="00D65F99" w:rsidRDefault="00D65F99"/>
        </w:tc>
        <w:tc>
          <w:tcPr>
            <w:tcW w:w="2590" w:type="dxa"/>
          </w:tcPr>
          <w:p w14:paraId="2E654BFE"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lastRenderedPageBreak/>
              <w:t>Examples of risk control:</w:t>
            </w:r>
          </w:p>
          <w:p w14:paraId="7F212583" w14:textId="77777777" w:rsidR="00D65F99" w:rsidRPr="0044469E" w:rsidRDefault="00D65F99" w:rsidP="00D65F99">
            <w:pPr>
              <w:pStyle w:val="ListParagraph"/>
              <w:numPr>
                <w:ilvl w:val="0"/>
                <w:numId w:val="3"/>
              </w:numPr>
              <w:rPr>
                <w:rFonts w:ascii="Times New Roman" w:hAnsi="Times New Roman" w:cs="Times New Roman"/>
              </w:rPr>
            </w:pPr>
            <w:r w:rsidRPr="0044469E">
              <w:rPr>
                <w:rFonts w:ascii="Times New Roman" w:hAnsi="Times New Roman" w:cs="Times New Roman"/>
              </w:rPr>
              <w:lastRenderedPageBreak/>
              <w:t>Actions which reduces the frequency or impact of the risk</w:t>
            </w:r>
          </w:p>
          <w:p w14:paraId="35A9156A" w14:textId="77777777" w:rsidR="00D65F99" w:rsidRPr="0044469E" w:rsidRDefault="00D65F99" w:rsidP="00D65F99">
            <w:pPr>
              <w:pStyle w:val="ListParagraph"/>
              <w:numPr>
                <w:ilvl w:val="0"/>
                <w:numId w:val="3"/>
              </w:numPr>
              <w:rPr>
                <w:rFonts w:ascii="Times New Roman" w:hAnsi="Times New Roman" w:cs="Times New Roman"/>
              </w:rPr>
            </w:pPr>
            <w:r w:rsidRPr="0044469E">
              <w:rPr>
                <w:rFonts w:ascii="Times New Roman" w:hAnsi="Times New Roman" w:cs="Times New Roman"/>
              </w:rPr>
              <w:t>Staff training programs</w:t>
            </w:r>
          </w:p>
          <w:p w14:paraId="32A7630B" w14:textId="77777777" w:rsidR="00D65F99" w:rsidRPr="0044469E" w:rsidRDefault="00D65F99" w:rsidP="00D65F99">
            <w:pPr>
              <w:pStyle w:val="ListParagraph"/>
              <w:numPr>
                <w:ilvl w:val="0"/>
                <w:numId w:val="3"/>
              </w:numPr>
              <w:rPr>
                <w:rFonts w:ascii="Times New Roman" w:hAnsi="Times New Roman" w:cs="Times New Roman"/>
              </w:rPr>
            </w:pPr>
            <w:r w:rsidRPr="0044469E">
              <w:rPr>
                <w:rFonts w:ascii="Times New Roman" w:hAnsi="Times New Roman" w:cs="Times New Roman"/>
              </w:rPr>
              <w:t>Requirement to obtain insurance</w:t>
            </w:r>
          </w:p>
          <w:p w14:paraId="5A8F672C" w14:textId="77777777" w:rsidR="00D65F99" w:rsidRPr="0044469E" w:rsidRDefault="00D65F99" w:rsidP="00D65F99">
            <w:pPr>
              <w:pStyle w:val="ListParagraph"/>
              <w:numPr>
                <w:ilvl w:val="0"/>
                <w:numId w:val="3"/>
              </w:numPr>
              <w:rPr>
                <w:rFonts w:ascii="Times New Roman" w:hAnsi="Times New Roman" w:cs="Times New Roman"/>
              </w:rPr>
            </w:pPr>
            <w:r w:rsidRPr="0044469E">
              <w:rPr>
                <w:rFonts w:ascii="Times New Roman" w:hAnsi="Times New Roman" w:cs="Times New Roman"/>
              </w:rPr>
              <w:t>Policies and procedures</w:t>
            </w:r>
          </w:p>
          <w:p w14:paraId="4A75FC71" w14:textId="77777777" w:rsidR="00D65F99" w:rsidRPr="0044469E" w:rsidRDefault="00D65F99" w:rsidP="00D65F99">
            <w:pPr>
              <w:pStyle w:val="ListParagraph"/>
              <w:numPr>
                <w:ilvl w:val="0"/>
                <w:numId w:val="3"/>
              </w:numPr>
              <w:rPr>
                <w:rFonts w:ascii="Times New Roman" w:hAnsi="Times New Roman" w:cs="Times New Roman"/>
              </w:rPr>
            </w:pPr>
            <w:r w:rsidRPr="0044469E">
              <w:rPr>
                <w:rFonts w:ascii="Times New Roman" w:hAnsi="Times New Roman" w:cs="Times New Roman"/>
              </w:rPr>
              <w:t>Incident reporting</w:t>
            </w:r>
          </w:p>
          <w:p w14:paraId="2B6265C0" w14:textId="77777777" w:rsidR="00D65F99" w:rsidRPr="0044469E" w:rsidRDefault="00D65F99" w:rsidP="00D65F99">
            <w:pPr>
              <w:pStyle w:val="ListParagraph"/>
              <w:numPr>
                <w:ilvl w:val="0"/>
                <w:numId w:val="3"/>
              </w:numPr>
              <w:rPr>
                <w:rFonts w:ascii="Times New Roman" w:hAnsi="Times New Roman" w:cs="Times New Roman"/>
              </w:rPr>
            </w:pPr>
            <w:r w:rsidRPr="0044469E">
              <w:rPr>
                <w:rFonts w:ascii="Times New Roman" w:hAnsi="Times New Roman" w:cs="Times New Roman"/>
              </w:rPr>
              <w:t>Site inspection</w:t>
            </w:r>
          </w:p>
          <w:p w14:paraId="78E64366" w14:textId="77777777" w:rsidR="00D65F99" w:rsidRPr="0044469E" w:rsidRDefault="00D65F99" w:rsidP="00D65F99">
            <w:pPr>
              <w:rPr>
                <w:rFonts w:ascii="Times New Roman" w:hAnsi="Times New Roman" w:cs="Times New Roman"/>
              </w:rPr>
            </w:pPr>
            <w:r w:rsidRPr="0044469E">
              <w:rPr>
                <w:rFonts w:ascii="Times New Roman" w:hAnsi="Times New Roman" w:cs="Times New Roman"/>
                <w:highlight w:val="yellow"/>
              </w:rPr>
              <w:t xml:space="preserve">(42, </w:t>
            </w:r>
            <w:proofErr w:type="spellStart"/>
            <w:r w:rsidRPr="00752FAC">
              <w:rPr>
                <w:rFonts w:ascii="Times New Roman" w:hAnsi="Times New Roman" w:cs="Times New Roman"/>
                <w:highlight w:val="yellow"/>
              </w:rPr>
              <w:t>Kaplin</w:t>
            </w:r>
            <w:proofErr w:type="spellEnd"/>
            <w:r w:rsidRPr="00752FAC">
              <w:rPr>
                <w:rFonts w:ascii="Times New Roman" w:hAnsi="Times New Roman" w:cs="Times New Roman"/>
                <w:highlight w:val="yellow"/>
              </w:rPr>
              <w:t xml:space="preserve"> and Lee (2013),</w:t>
            </w:r>
            <w:r w:rsidRPr="0044469E">
              <w:rPr>
                <w:rFonts w:ascii="Times New Roman" w:hAnsi="Times New Roman" w:cs="Times New Roman"/>
              </w:rPr>
              <w:t xml:space="preserve"> (n 31) 171.</w:t>
            </w:r>
            <w:r w:rsidRPr="0044469E">
              <w:rPr>
                <w:rFonts w:ascii="Times New Roman" w:hAnsi="Times New Roman" w:cs="Times New Roman"/>
                <w:highlight w:val="yellow"/>
              </w:rPr>
              <w:t>43</w:t>
            </w:r>
            <w:r w:rsidRPr="0044469E">
              <w:rPr>
                <w:rFonts w:ascii="Times New Roman" w:hAnsi="Times New Roman" w:cs="Times New Roman"/>
              </w:rPr>
              <w:t xml:space="preserve"> </w:t>
            </w:r>
            <w:r w:rsidRPr="00897DF4">
              <w:rPr>
                <w:rFonts w:ascii="Times New Roman" w:hAnsi="Times New Roman" w:cs="Times New Roman"/>
                <w:highlight w:val="yellow"/>
              </w:rPr>
              <w:t>Bennett (1990</w:t>
            </w:r>
            <w:r>
              <w:rPr>
                <w:rFonts w:ascii="Times New Roman" w:hAnsi="Times New Roman" w:cs="Times New Roman"/>
              </w:rPr>
              <w:t>)</w:t>
            </w:r>
            <w:r w:rsidRPr="0044469E">
              <w:rPr>
                <w:rFonts w:ascii="Times New Roman" w:hAnsi="Times New Roman" w:cs="Times New Roman"/>
              </w:rPr>
              <w:t xml:space="preserve"> (n 37) 7–9. as cited by Cameron, 2019, p. 35).</w:t>
            </w:r>
          </w:p>
          <w:p w14:paraId="2D3F756B" w14:textId="77777777" w:rsidR="00D65F99" w:rsidRDefault="00D65F99"/>
        </w:tc>
        <w:tc>
          <w:tcPr>
            <w:tcW w:w="2590" w:type="dxa"/>
          </w:tcPr>
          <w:p w14:paraId="76885013" w14:textId="77777777" w:rsidR="00D65F99" w:rsidRDefault="00D65F99"/>
        </w:tc>
      </w:tr>
      <w:tr w:rsidR="00D65F99" w14:paraId="5FE44695" w14:textId="77777777" w:rsidTr="00D65F99">
        <w:tc>
          <w:tcPr>
            <w:tcW w:w="2590" w:type="dxa"/>
          </w:tcPr>
          <w:p w14:paraId="3C0616D6"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The authors found that a majority of university lawyers’ work involves review, drafting, education and advice in relation to contracts, intellectual property (‘IP’), confidentiality, privacy law, policy and workplace health and safety- all areas of legal risk (</w:t>
            </w:r>
            <w:r w:rsidRPr="0044469E">
              <w:rPr>
                <w:rFonts w:ascii="Times New Roman" w:hAnsi="Times New Roman" w:cs="Times New Roman"/>
                <w:highlight w:val="yellow"/>
              </w:rPr>
              <w:t>26</w:t>
            </w:r>
            <w:r w:rsidRPr="00752FAC">
              <w:rPr>
                <w:rFonts w:ascii="Times New Roman" w:hAnsi="Times New Roman" w:cs="Times New Roman"/>
              </w:rPr>
              <w:t xml:space="preserve"> </w:t>
            </w:r>
            <w:r w:rsidRPr="00752FAC">
              <w:rPr>
                <w:rFonts w:ascii="Times New Roman" w:hAnsi="Times New Roman" w:cs="Times New Roman"/>
                <w:highlight w:val="yellow"/>
              </w:rPr>
              <w:t>Cameron and Klopper (2015)</w:t>
            </w:r>
            <w:r w:rsidRPr="0044469E">
              <w:rPr>
                <w:rFonts w:ascii="Times New Roman" w:hAnsi="Times New Roman" w:cs="Times New Roman"/>
              </w:rPr>
              <w:t xml:space="preserve"> as cited by Cameron, 2019, p. 33).</w:t>
            </w:r>
          </w:p>
          <w:p w14:paraId="6E4F8FB9" w14:textId="77777777" w:rsidR="00D65F99" w:rsidRDefault="00D65F99"/>
        </w:tc>
        <w:tc>
          <w:tcPr>
            <w:tcW w:w="2590" w:type="dxa"/>
          </w:tcPr>
          <w:p w14:paraId="3E1CCD69" w14:textId="77777777" w:rsidR="00D65F99" w:rsidRPr="00C50037" w:rsidRDefault="00D65F99" w:rsidP="00D65F99">
            <w:pPr>
              <w:rPr>
                <w:rFonts w:ascii="Times New Roman" w:hAnsi="Times New Roman" w:cs="Times New Roman"/>
              </w:rPr>
            </w:pPr>
            <w:r w:rsidRPr="0044469E">
              <w:rPr>
                <w:rFonts w:ascii="Times New Roman" w:hAnsi="Times New Roman" w:cs="Times New Roman"/>
              </w:rPr>
              <w:t xml:space="preserve">Government </w:t>
            </w:r>
            <w:r w:rsidRPr="00C50037">
              <w:rPr>
                <w:rFonts w:ascii="Times New Roman" w:hAnsi="Times New Roman" w:cs="Times New Roman"/>
              </w:rPr>
              <w:t>funding to universities is contingent on complying with these regulations (</w:t>
            </w:r>
            <w:r w:rsidRPr="00C50037">
              <w:rPr>
                <w:rFonts w:ascii="Times New Roman" w:hAnsi="Times New Roman" w:cs="Times New Roman"/>
                <w:highlight w:val="yellow"/>
              </w:rPr>
              <w:t>19</w:t>
            </w:r>
            <w:r w:rsidRPr="00C50037">
              <w:rPr>
                <w:rFonts w:ascii="Times New Roman" w:hAnsi="Times New Roman" w:cs="Times New Roman"/>
              </w:rPr>
              <w:t xml:space="preserve">- </w:t>
            </w:r>
            <w:r w:rsidRPr="00C50037">
              <w:rPr>
                <w:rFonts w:ascii="Times New Roman" w:hAnsi="Times New Roman" w:cs="Times New Roman"/>
                <w:highlight w:val="yellow"/>
              </w:rPr>
              <w:t>Higher Education Support Act 2003</w:t>
            </w:r>
            <w:r w:rsidRPr="00C50037">
              <w:rPr>
                <w:rFonts w:ascii="Times New Roman" w:hAnsi="Times New Roman" w:cs="Times New Roman"/>
              </w:rPr>
              <w:t xml:space="preserve"> as cited by Cameron, 2019, p. 31).</w:t>
            </w:r>
          </w:p>
          <w:p w14:paraId="7D49AEA7" w14:textId="77777777" w:rsidR="00D65F99" w:rsidRPr="0044469E" w:rsidRDefault="00D65F99" w:rsidP="00D65F99">
            <w:pPr>
              <w:rPr>
                <w:rFonts w:ascii="Times New Roman" w:hAnsi="Times New Roman" w:cs="Times New Roman"/>
              </w:rPr>
            </w:pPr>
          </w:p>
        </w:tc>
        <w:tc>
          <w:tcPr>
            <w:tcW w:w="2590" w:type="dxa"/>
          </w:tcPr>
          <w:p w14:paraId="11688FFD"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WIL staff may be asked to have a conversation with the student to ensure that they make an informed decision about assigning their rights (Cameron, 2019, p. 43).</w:t>
            </w:r>
          </w:p>
          <w:p w14:paraId="0EBE4604" w14:textId="77777777" w:rsidR="00D65F99" w:rsidRDefault="00D65F99"/>
        </w:tc>
        <w:tc>
          <w:tcPr>
            <w:tcW w:w="2590" w:type="dxa"/>
          </w:tcPr>
          <w:p w14:paraId="48390624"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Examples of risk transfer:</w:t>
            </w:r>
          </w:p>
          <w:p w14:paraId="4EAD5F48" w14:textId="77777777" w:rsidR="00D65F99" w:rsidRPr="0044469E" w:rsidRDefault="00D65F99" w:rsidP="00D65F99">
            <w:pPr>
              <w:pStyle w:val="ListParagraph"/>
              <w:numPr>
                <w:ilvl w:val="0"/>
                <w:numId w:val="4"/>
              </w:numPr>
              <w:rPr>
                <w:rFonts w:ascii="Times New Roman" w:hAnsi="Times New Roman" w:cs="Times New Roman"/>
              </w:rPr>
            </w:pPr>
            <w:r w:rsidRPr="0044469E">
              <w:rPr>
                <w:rFonts w:ascii="Times New Roman" w:hAnsi="Times New Roman" w:cs="Times New Roman"/>
              </w:rPr>
              <w:t>Shifting all or some of the responsibility for risk to other parties</w:t>
            </w:r>
          </w:p>
          <w:p w14:paraId="6C2D1C94" w14:textId="77777777" w:rsidR="00D65F99" w:rsidRPr="0044469E" w:rsidRDefault="00D65F99" w:rsidP="00D65F99">
            <w:pPr>
              <w:pStyle w:val="ListParagraph"/>
              <w:numPr>
                <w:ilvl w:val="1"/>
                <w:numId w:val="4"/>
              </w:numPr>
              <w:rPr>
                <w:rFonts w:ascii="Times New Roman" w:hAnsi="Times New Roman" w:cs="Times New Roman"/>
              </w:rPr>
            </w:pPr>
            <w:r w:rsidRPr="0044469E">
              <w:rPr>
                <w:rFonts w:ascii="Times New Roman" w:hAnsi="Times New Roman" w:cs="Times New Roman"/>
              </w:rPr>
              <w:t>Insurers (policy of insurance)</w:t>
            </w:r>
          </w:p>
          <w:p w14:paraId="19AE484A" w14:textId="77777777" w:rsidR="00D65F99" w:rsidRPr="0044469E" w:rsidRDefault="00D65F99" w:rsidP="00D65F99">
            <w:pPr>
              <w:pStyle w:val="ListParagraph"/>
              <w:numPr>
                <w:ilvl w:val="1"/>
                <w:numId w:val="4"/>
              </w:numPr>
              <w:rPr>
                <w:rFonts w:ascii="Times New Roman" w:hAnsi="Times New Roman" w:cs="Times New Roman"/>
              </w:rPr>
            </w:pPr>
            <w:r w:rsidRPr="0044469E">
              <w:rPr>
                <w:rFonts w:ascii="Times New Roman" w:hAnsi="Times New Roman" w:cs="Times New Roman"/>
              </w:rPr>
              <w:t>Students (release waivers)</w:t>
            </w:r>
          </w:p>
          <w:p w14:paraId="4E17EF5C" w14:textId="77777777" w:rsidR="00D65F99" w:rsidRPr="0044469E" w:rsidRDefault="00D65F99" w:rsidP="00D65F99">
            <w:pPr>
              <w:pStyle w:val="ListParagraph"/>
              <w:numPr>
                <w:ilvl w:val="1"/>
                <w:numId w:val="4"/>
              </w:numPr>
              <w:rPr>
                <w:rFonts w:ascii="Times New Roman" w:hAnsi="Times New Roman" w:cs="Times New Roman"/>
              </w:rPr>
            </w:pPr>
            <w:r w:rsidRPr="0044469E">
              <w:rPr>
                <w:rFonts w:ascii="Times New Roman" w:hAnsi="Times New Roman" w:cs="Times New Roman"/>
              </w:rPr>
              <w:t>Universities and host organizations (contract)</w:t>
            </w:r>
          </w:p>
          <w:p w14:paraId="07468A45" w14:textId="77777777" w:rsidR="00D65F99" w:rsidRPr="0044469E" w:rsidRDefault="00D65F99" w:rsidP="00D65F99">
            <w:pPr>
              <w:rPr>
                <w:rFonts w:ascii="Times New Roman" w:hAnsi="Times New Roman" w:cs="Times New Roman"/>
              </w:rPr>
            </w:pPr>
            <w:r w:rsidRPr="0044469E">
              <w:rPr>
                <w:rFonts w:ascii="Times New Roman" w:hAnsi="Times New Roman" w:cs="Times New Roman"/>
                <w:highlight w:val="yellow"/>
              </w:rPr>
              <w:lastRenderedPageBreak/>
              <w:t>(44</w:t>
            </w:r>
            <w:r w:rsidRPr="00897DF4">
              <w:rPr>
                <w:rFonts w:ascii="Times New Roman" w:hAnsi="Times New Roman" w:cs="Times New Roman"/>
                <w:highlight w:val="yellow"/>
              </w:rPr>
              <w:t xml:space="preserve"> </w:t>
            </w:r>
            <w:proofErr w:type="spellStart"/>
            <w:r w:rsidRPr="00752FAC">
              <w:rPr>
                <w:rFonts w:ascii="Times New Roman" w:hAnsi="Times New Roman" w:cs="Times New Roman"/>
                <w:highlight w:val="yellow"/>
              </w:rPr>
              <w:t>Kaplin</w:t>
            </w:r>
            <w:proofErr w:type="spellEnd"/>
            <w:r w:rsidRPr="00752FAC">
              <w:rPr>
                <w:rFonts w:ascii="Times New Roman" w:hAnsi="Times New Roman" w:cs="Times New Roman"/>
                <w:highlight w:val="yellow"/>
              </w:rPr>
              <w:t xml:space="preserve"> and Lee (2013),</w:t>
            </w:r>
            <w:r w:rsidRPr="0044469E">
              <w:rPr>
                <w:rFonts w:ascii="Times New Roman" w:hAnsi="Times New Roman" w:cs="Times New Roman"/>
              </w:rPr>
              <w:t xml:space="preserve"> (n 31) 171–7. as cited by Cameron, 2019, p. 35).</w:t>
            </w:r>
          </w:p>
          <w:p w14:paraId="3490B8FB" w14:textId="77777777" w:rsidR="00D65F99" w:rsidRDefault="00D65F99"/>
        </w:tc>
        <w:tc>
          <w:tcPr>
            <w:tcW w:w="2590" w:type="dxa"/>
          </w:tcPr>
          <w:p w14:paraId="2F15517F" w14:textId="77777777" w:rsidR="00D65F99" w:rsidRDefault="00D65F99"/>
        </w:tc>
      </w:tr>
      <w:tr w:rsidR="00D65F99" w14:paraId="74F738BA" w14:textId="77777777" w:rsidTr="00D65F99">
        <w:tc>
          <w:tcPr>
            <w:tcW w:w="2590" w:type="dxa"/>
          </w:tcPr>
          <w:p w14:paraId="2B288FA9"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Content analysis of 39 university websites was conducted to gain further insight about university lawyers. Analysis shows that university lawyers are prevalent in almost every university in Australia and are generally centralized within one operational division of the university (Cameron, 2019, p. 33).</w:t>
            </w:r>
          </w:p>
          <w:p w14:paraId="74D52692" w14:textId="77777777" w:rsidR="00D65F99" w:rsidRDefault="00D65F99"/>
        </w:tc>
        <w:tc>
          <w:tcPr>
            <w:tcW w:w="2590" w:type="dxa"/>
          </w:tcPr>
          <w:p w14:paraId="3C4ABE77"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WIL staff may fail to collaborate with university lawyers early in the agreement-making process, or not request legal advice at all in relation to WIL programs (</w:t>
            </w:r>
            <w:r w:rsidRPr="0044469E">
              <w:rPr>
                <w:rFonts w:ascii="Times New Roman" w:hAnsi="Times New Roman" w:cs="Times New Roman"/>
                <w:highlight w:val="yellow"/>
              </w:rPr>
              <w:t>36</w:t>
            </w:r>
            <w:r w:rsidRPr="0044469E">
              <w:rPr>
                <w:rFonts w:ascii="Times New Roman" w:hAnsi="Times New Roman" w:cs="Times New Roman"/>
              </w:rPr>
              <w:t xml:space="preserve"> </w:t>
            </w:r>
            <w:r w:rsidRPr="00C50037">
              <w:rPr>
                <w:rFonts w:ascii="Times New Roman" w:hAnsi="Times New Roman" w:cs="Times New Roman"/>
                <w:highlight w:val="yellow"/>
              </w:rPr>
              <w:t>Cameron and Klopper (2015)</w:t>
            </w:r>
            <w:r w:rsidRPr="0044469E">
              <w:rPr>
                <w:rFonts w:ascii="Times New Roman" w:hAnsi="Times New Roman" w:cs="Times New Roman"/>
              </w:rPr>
              <w:t xml:space="preserve"> 356–7 as cited by Cameron, 2019, p. 34).</w:t>
            </w:r>
          </w:p>
          <w:p w14:paraId="303596BE" w14:textId="77777777" w:rsidR="00D65F99" w:rsidRPr="0044469E" w:rsidRDefault="00D65F99" w:rsidP="00D65F99">
            <w:pPr>
              <w:rPr>
                <w:rFonts w:ascii="Times New Roman" w:hAnsi="Times New Roman" w:cs="Times New Roman"/>
              </w:rPr>
            </w:pPr>
          </w:p>
        </w:tc>
        <w:tc>
          <w:tcPr>
            <w:tcW w:w="2590" w:type="dxa"/>
          </w:tcPr>
          <w:p w14:paraId="0FDF1BF7" w14:textId="77777777" w:rsidR="00D65F99" w:rsidRDefault="00D65F99" w:rsidP="00D65F99">
            <w:pPr>
              <w:rPr>
                <w:rFonts w:ascii="Times New Roman" w:hAnsi="Times New Roman" w:cs="Times New Roman"/>
              </w:rPr>
            </w:pPr>
            <w:r w:rsidRPr="0044469E">
              <w:rPr>
                <w:rFonts w:ascii="Times New Roman" w:hAnsi="Times New Roman" w:cs="Times New Roman"/>
              </w:rPr>
              <w:t>The student legal service is operated by the student union at some universities and engages practicing lawyers (Cameron, 2019, p. 43).</w:t>
            </w:r>
          </w:p>
          <w:p w14:paraId="12E4B97D" w14:textId="77777777" w:rsidR="00D65F99" w:rsidRDefault="00D65F99"/>
        </w:tc>
        <w:tc>
          <w:tcPr>
            <w:tcW w:w="2590" w:type="dxa"/>
          </w:tcPr>
          <w:p w14:paraId="06106FEC"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Examples of risk acceptance:</w:t>
            </w:r>
          </w:p>
          <w:p w14:paraId="3FA26D0D" w14:textId="77777777" w:rsidR="00D65F99" w:rsidRPr="0044469E" w:rsidRDefault="00D65F99" w:rsidP="00D65F99">
            <w:pPr>
              <w:pStyle w:val="ListParagraph"/>
              <w:numPr>
                <w:ilvl w:val="0"/>
                <w:numId w:val="4"/>
              </w:numPr>
              <w:rPr>
                <w:rFonts w:ascii="Times New Roman" w:hAnsi="Times New Roman" w:cs="Times New Roman"/>
              </w:rPr>
            </w:pPr>
            <w:r w:rsidRPr="0044469E">
              <w:rPr>
                <w:rFonts w:ascii="Times New Roman" w:hAnsi="Times New Roman" w:cs="Times New Roman"/>
              </w:rPr>
              <w:t>Represents an acknowledgement that if the university wishes to pursue the activity that creates the risk, the risk cannot be avoided, controlled or transferred</w:t>
            </w:r>
          </w:p>
          <w:p w14:paraId="553E6E07" w14:textId="77777777" w:rsidR="00D65F99" w:rsidRPr="0044469E" w:rsidRDefault="00D65F99" w:rsidP="00D65F99">
            <w:pPr>
              <w:rPr>
                <w:rFonts w:ascii="Times New Roman" w:hAnsi="Times New Roman" w:cs="Times New Roman"/>
              </w:rPr>
            </w:pPr>
            <w:r w:rsidRPr="0044469E">
              <w:rPr>
                <w:rFonts w:ascii="Times New Roman" w:hAnsi="Times New Roman" w:cs="Times New Roman"/>
                <w:highlight w:val="yellow"/>
              </w:rPr>
              <w:t>(45</w:t>
            </w:r>
            <w:r>
              <w:rPr>
                <w:rFonts w:ascii="Times New Roman" w:hAnsi="Times New Roman" w:cs="Times New Roman"/>
              </w:rPr>
              <w:t xml:space="preserve"> </w:t>
            </w:r>
            <w:proofErr w:type="spellStart"/>
            <w:r w:rsidRPr="00897DF4">
              <w:rPr>
                <w:rFonts w:ascii="Times New Roman" w:hAnsi="Times New Roman" w:cs="Times New Roman"/>
                <w:highlight w:val="yellow"/>
              </w:rPr>
              <w:t>Sonenstein</w:t>
            </w:r>
            <w:proofErr w:type="spellEnd"/>
            <w:r w:rsidRPr="00897DF4">
              <w:rPr>
                <w:rFonts w:ascii="Times New Roman" w:hAnsi="Times New Roman" w:cs="Times New Roman"/>
                <w:highlight w:val="yellow"/>
              </w:rPr>
              <w:t xml:space="preserve"> and </w:t>
            </w:r>
            <w:proofErr w:type="spellStart"/>
            <w:r w:rsidRPr="00897DF4">
              <w:rPr>
                <w:rFonts w:ascii="Times New Roman" w:hAnsi="Times New Roman" w:cs="Times New Roman"/>
                <w:highlight w:val="yellow"/>
              </w:rPr>
              <w:t>Kumin</w:t>
            </w:r>
            <w:proofErr w:type="spellEnd"/>
            <w:r w:rsidRPr="00897DF4">
              <w:rPr>
                <w:rFonts w:ascii="Times New Roman" w:hAnsi="Times New Roman" w:cs="Times New Roman"/>
                <w:highlight w:val="yellow"/>
              </w:rPr>
              <w:t xml:space="preserve"> (1998)</w:t>
            </w:r>
            <w:r w:rsidRPr="0044469E">
              <w:rPr>
                <w:rFonts w:ascii="Times New Roman" w:hAnsi="Times New Roman" w:cs="Times New Roman"/>
              </w:rPr>
              <w:t xml:space="preserve"> (n 39) 8. as cited by Cameron, 2019, p. 35).</w:t>
            </w:r>
          </w:p>
          <w:p w14:paraId="6BACA84E" w14:textId="77777777" w:rsidR="00D65F99" w:rsidRDefault="00D65F99"/>
        </w:tc>
        <w:tc>
          <w:tcPr>
            <w:tcW w:w="2590" w:type="dxa"/>
          </w:tcPr>
          <w:p w14:paraId="59C1A581" w14:textId="77777777" w:rsidR="00D65F99" w:rsidRDefault="00D65F99"/>
        </w:tc>
      </w:tr>
      <w:tr w:rsidR="00D65F99" w14:paraId="38CD1C56" w14:textId="77777777" w:rsidTr="00D65F99">
        <w:tc>
          <w:tcPr>
            <w:tcW w:w="2590" w:type="dxa"/>
          </w:tcPr>
          <w:p w14:paraId="25C5E9B9"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University lawyers have the university as their sole client (Cameron, 2019, p. 33).</w:t>
            </w:r>
          </w:p>
          <w:p w14:paraId="5F4E1469" w14:textId="77777777" w:rsidR="00D65F99" w:rsidRDefault="00D65F99"/>
        </w:tc>
        <w:tc>
          <w:tcPr>
            <w:tcW w:w="2590" w:type="dxa"/>
          </w:tcPr>
          <w:p w14:paraId="53D463C3"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From a program risk perspective WIL staff should comply with university policy when responding to an incident (Cameron, 2019, p. 41).</w:t>
            </w:r>
          </w:p>
          <w:p w14:paraId="5171EF7D" w14:textId="77777777" w:rsidR="00D65F99" w:rsidRPr="0044469E" w:rsidRDefault="00D65F99" w:rsidP="00D65F99">
            <w:pPr>
              <w:rPr>
                <w:rFonts w:ascii="Times New Roman" w:hAnsi="Times New Roman" w:cs="Times New Roman"/>
              </w:rPr>
            </w:pPr>
          </w:p>
        </w:tc>
        <w:tc>
          <w:tcPr>
            <w:tcW w:w="2590" w:type="dxa"/>
          </w:tcPr>
          <w:p w14:paraId="2F6970ED"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 xml:space="preserve">From a legal perspective it is important to identify at-risk students early in their degree to protect the students’ due process rights and notifying students about the difficulties associated with completing their degree </w:t>
            </w:r>
            <w:r w:rsidRPr="0044469E">
              <w:rPr>
                <w:rFonts w:ascii="Times New Roman" w:hAnsi="Times New Roman" w:cs="Times New Roman"/>
                <w:highlight w:val="yellow"/>
              </w:rPr>
              <w:t>(</w:t>
            </w:r>
            <w:r w:rsidRPr="00897DF4">
              <w:rPr>
                <w:rFonts w:ascii="Times New Roman" w:hAnsi="Times New Roman" w:cs="Times New Roman"/>
                <w:highlight w:val="yellow"/>
              </w:rPr>
              <w:t xml:space="preserve">49 </w:t>
            </w:r>
            <w:proofErr w:type="spellStart"/>
            <w:r w:rsidRPr="00897DF4">
              <w:rPr>
                <w:rFonts w:ascii="Times New Roman" w:hAnsi="Times New Roman" w:cs="Times New Roman"/>
                <w:highlight w:val="yellow"/>
              </w:rPr>
              <w:t>Karickhoff</w:t>
            </w:r>
            <w:proofErr w:type="spellEnd"/>
            <w:r w:rsidRPr="00897DF4">
              <w:rPr>
                <w:rFonts w:ascii="Times New Roman" w:hAnsi="Times New Roman" w:cs="Times New Roman"/>
                <w:highlight w:val="yellow"/>
              </w:rPr>
              <w:t xml:space="preserve"> and Aimee Howley, (1997)</w:t>
            </w:r>
            <w:r>
              <w:rPr>
                <w:rFonts w:ascii="Times New Roman" w:hAnsi="Times New Roman" w:cs="Times New Roman"/>
                <w:sz w:val="14"/>
                <w:szCs w:val="14"/>
              </w:rPr>
              <w:t xml:space="preserve"> </w:t>
            </w:r>
            <w:r w:rsidRPr="0044469E">
              <w:rPr>
                <w:rFonts w:ascii="Times New Roman" w:hAnsi="Times New Roman" w:cs="Times New Roman"/>
              </w:rPr>
              <w:lastRenderedPageBreak/>
              <w:t>as cited by Cameron, 2019, p. 36).</w:t>
            </w:r>
          </w:p>
          <w:p w14:paraId="1AFD651B" w14:textId="77777777" w:rsidR="00D65F99" w:rsidRDefault="00D65F99"/>
        </w:tc>
        <w:tc>
          <w:tcPr>
            <w:tcW w:w="2590" w:type="dxa"/>
          </w:tcPr>
          <w:p w14:paraId="77109156"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lastRenderedPageBreak/>
              <w:t>Program risk is generally a response to an incident during the WIL placement (Cameron, 2019, p. 40).</w:t>
            </w:r>
          </w:p>
          <w:p w14:paraId="061C765B" w14:textId="77777777" w:rsidR="00D65F99" w:rsidRDefault="00D65F99"/>
        </w:tc>
        <w:tc>
          <w:tcPr>
            <w:tcW w:w="2590" w:type="dxa"/>
          </w:tcPr>
          <w:p w14:paraId="0CF547B8" w14:textId="77777777" w:rsidR="00D65F99" w:rsidRDefault="00D65F99"/>
        </w:tc>
      </w:tr>
      <w:tr w:rsidR="00D65F99" w14:paraId="0A889F82" w14:textId="77777777" w:rsidTr="00D65F99">
        <w:tc>
          <w:tcPr>
            <w:tcW w:w="2590" w:type="dxa"/>
          </w:tcPr>
          <w:p w14:paraId="02F219EF"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WIL is considered a university activity associated with legal risk (Cameron, 2019, p. 33).</w:t>
            </w:r>
          </w:p>
          <w:p w14:paraId="24C336F1" w14:textId="77777777" w:rsidR="00D65F99" w:rsidRPr="0044469E" w:rsidRDefault="00D65F99" w:rsidP="00D65F99">
            <w:pPr>
              <w:rPr>
                <w:rFonts w:ascii="Times New Roman" w:hAnsi="Times New Roman" w:cs="Times New Roman"/>
              </w:rPr>
            </w:pPr>
          </w:p>
        </w:tc>
        <w:tc>
          <w:tcPr>
            <w:tcW w:w="2590" w:type="dxa"/>
          </w:tcPr>
          <w:p w14:paraId="701F7132" w14:textId="77777777" w:rsidR="00D65F99" w:rsidRPr="0044469E" w:rsidRDefault="00D65F99" w:rsidP="00D65F99">
            <w:pPr>
              <w:rPr>
                <w:rFonts w:ascii="Times New Roman" w:hAnsi="Times New Roman" w:cs="Times New Roman"/>
              </w:rPr>
            </w:pPr>
          </w:p>
        </w:tc>
        <w:tc>
          <w:tcPr>
            <w:tcW w:w="2590" w:type="dxa"/>
          </w:tcPr>
          <w:p w14:paraId="01468D78" w14:textId="77777777" w:rsidR="00D65F99" w:rsidRDefault="00D65F99"/>
        </w:tc>
        <w:tc>
          <w:tcPr>
            <w:tcW w:w="2590" w:type="dxa"/>
          </w:tcPr>
          <w:p w14:paraId="2DD97EAE"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Advice about risk management is to be proactive with WIL agreements (contract risk) and reactive with program risk (Cameron, 2019, p. 41).</w:t>
            </w:r>
          </w:p>
          <w:p w14:paraId="0AADE347" w14:textId="77777777" w:rsidR="00D65F99" w:rsidRDefault="00D65F99"/>
        </w:tc>
        <w:tc>
          <w:tcPr>
            <w:tcW w:w="2590" w:type="dxa"/>
          </w:tcPr>
          <w:p w14:paraId="4BF4D47D" w14:textId="77777777" w:rsidR="00D65F99" w:rsidRDefault="00D65F99"/>
        </w:tc>
      </w:tr>
      <w:tr w:rsidR="00D65F99" w14:paraId="6CBAADBD" w14:textId="77777777" w:rsidTr="00D65F99">
        <w:tc>
          <w:tcPr>
            <w:tcW w:w="2590" w:type="dxa"/>
          </w:tcPr>
          <w:p w14:paraId="50A8196E"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There are parallels between the prevalence, organizational structure and work of university lawyers in Australia and the USA (Cameron, 2019, p. 33).</w:t>
            </w:r>
          </w:p>
          <w:p w14:paraId="471F8CB4" w14:textId="77777777" w:rsidR="00D65F99" w:rsidRPr="0044469E" w:rsidRDefault="00D65F99" w:rsidP="00D65F99">
            <w:pPr>
              <w:rPr>
                <w:rFonts w:ascii="Times New Roman" w:hAnsi="Times New Roman" w:cs="Times New Roman"/>
              </w:rPr>
            </w:pPr>
          </w:p>
        </w:tc>
        <w:tc>
          <w:tcPr>
            <w:tcW w:w="2590" w:type="dxa"/>
          </w:tcPr>
          <w:p w14:paraId="2065AC03" w14:textId="77777777" w:rsidR="00D65F99" w:rsidRPr="0044469E" w:rsidRDefault="00D65F99" w:rsidP="00D65F99">
            <w:pPr>
              <w:rPr>
                <w:rFonts w:ascii="Times New Roman" w:hAnsi="Times New Roman" w:cs="Times New Roman"/>
              </w:rPr>
            </w:pPr>
          </w:p>
        </w:tc>
        <w:tc>
          <w:tcPr>
            <w:tcW w:w="2590" w:type="dxa"/>
          </w:tcPr>
          <w:p w14:paraId="7784A1AA" w14:textId="77777777" w:rsidR="00D65F99" w:rsidRDefault="00D65F99"/>
        </w:tc>
        <w:tc>
          <w:tcPr>
            <w:tcW w:w="2590" w:type="dxa"/>
          </w:tcPr>
          <w:p w14:paraId="363AE7E7" w14:textId="77777777" w:rsidR="00D65F99" w:rsidRDefault="00D65F99"/>
        </w:tc>
        <w:tc>
          <w:tcPr>
            <w:tcW w:w="2590" w:type="dxa"/>
          </w:tcPr>
          <w:p w14:paraId="0CDF4730" w14:textId="77777777" w:rsidR="00D65F99" w:rsidRDefault="00D65F99"/>
        </w:tc>
      </w:tr>
      <w:tr w:rsidR="00D65F99" w14:paraId="6A4BBB00" w14:textId="77777777" w:rsidTr="00D65F99">
        <w:tc>
          <w:tcPr>
            <w:tcW w:w="2590" w:type="dxa"/>
          </w:tcPr>
          <w:p w14:paraId="7651E3BC" w14:textId="77777777" w:rsidR="00D65F99" w:rsidRPr="0044469E" w:rsidRDefault="00D65F99" w:rsidP="00D65F99">
            <w:pPr>
              <w:rPr>
                <w:rFonts w:ascii="Times New Roman" w:hAnsi="Times New Roman" w:cs="Times New Roman"/>
              </w:rPr>
            </w:pPr>
            <w:r w:rsidRPr="0044469E">
              <w:rPr>
                <w:rFonts w:ascii="Times New Roman" w:hAnsi="Times New Roman" w:cs="Times New Roman"/>
              </w:rPr>
              <w:t>The identity of the client within a decentralized organizational structure, and within conflicts of interest, in particular, has also been the source of academic interest in the role of the university lawyer (</w:t>
            </w:r>
            <w:r w:rsidRPr="0044469E">
              <w:rPr>
                <w:rFonts w:ascii="Times New Roman" w:hAnsi="Times New Roman" w:cs="Times New Roman"/>
                <w:highlight w:val="yellow"/>
              </w:rPr>
              <w:t>31</w:t>
            </w:r>
            <w:r w:rsidRPr="00752FAC">
              <w:rPr>
                <w:rFonts w:ascii="Times New Roman" w:hAnsi="Times New Roman" w:cs="Times New Roman"/>
              </w:rPr>
              <w:t xml:space="preserve"> </w:t>
            </w:r>
            <w:r w:rsidRPr="00752FAC">
              <w:rPr>
                <w:rFonts w:ascii="Times New Roman" w:hAnsi="Times New Roman" w:cs="Times New Roman"/>
                <w:highlight w:val="yellow"/>
              </w:rPr>
              <w:t>Aronson (1977); Drinan (</w:t>
            </w:r>
            <w:r>
              <w:rPr>
                <w:rFonts w:ascii="Times New Roman" w:hAnsi="Times New Roman" w:cs="Times New Roman"/>
                <w:highlight w:val="yellow"/>
              </w:rPr>
              <w:t xml:space="preserve">1993); </w:t>
            </w:r>
            <w:proofErr w:type="spellStart"/>
            <w:r w:rsidRPr="00752FAC">
              <w:rPr>
                <w:rFonts w:ascii="Times New Roman" w:hAnsi="Times New Roman" w:cs="Times New Roman"/>
                <w:highlight w:val="yellow"/>
              </w:rPr>
              <w:t>Kaplin</w:t>
            </w:r>
            <w:proofErr w:type="spellEnd"/>
            <w:r w:rsidRPr="00752FAC">
              <w:rPr>
                <w:rFonts w:ascii="Times New Roman" w:hAnsi="Times New Roman" w:cs="Times New Roman"/>
                <w:highlight w:val="yellow"/>
              </w:rPr>
              <w:t xml:space="preserve"> and Lee (2013),</w:t>
            </w:r>
            <w:r w:rsidRPr="0044469E">
              <w:rPr>
                <w:rFonts w:ascii="Times New Roman" w:hAnsi="Times New Roman" w:cs="Times New Roman"/>
              </w:rPr>
              <w:t xml:space="preserve"> </w:t>
            </w:r>
            <w:r w:rsidRPr="0044469E">
              <w:rPr>
                <w:rFonts w:ascii="Times New Roman" w:hAnsi="Times New Roman" w:cs="Times New Roman"/>
              </w:rPr>
              <w:lastRenderedPageBreak/>
              <w:t>as cited by Cameron, 2019, p. 34).</w:t>
            </w:r>
          </w:p>
          <w:p w14:paraId="0AC98E9C" w14:textId="77777777" w:rsidR="00D65F99" w:rsidRPr="0044469E" w:rsidRDefault="00D65F99" w:rsidP="00D65F99">
            <w:pPr>
              <w:rPr>
                <w:rFonts w:ascii="Times New Roman" w:hAnsi="Times New Roman" w:cs="Times New Roman"/>
              </w:rPr>
            </w:pPr>
          </w:p>
        </w:tc>
        <w:tc>
          <w:tcPr>
            <w:tcW w:w="2590" w:type="dxa"/>
          </w:tcPr>
          <w:p w14:paraId="7170AD11" w14:textId="77777777" w:rsidR="00D65F99" w:rsidRPr="0044469E" w:rsidRDefault="00D65F99" w:rsidP="00D65F99">
            <w:pPr>
              <w:rPr>
                <w:rFonts w:ascii="Times New Roman" w:hAnsi="Times New Roman" w:cs="Times New Roman"/>
              </w:rPr>
            </w:pPr>
          </w:p>
        </w:tc>
        <w:tc>
          <w:tcPr>
            <w:tcW w:w="2590" w:type="dxa"/>
          </w:tcPr>
          <w:p w14:paraId="0AAC6070" w14:textId="77777777" w:rsidR="00D65F99" w:rsidRDefault="00D65F99"/>
        </w:tc>
        <w:tc>
          <w:tcPr>
            <w:tcW w:w="2590" w:type="dxa"/>
          </w:tcPr>
          <w:p w14:paraId="11FC5486" w14:textId="77777777" w:rsidR="00D65F99" w:rsidRDefault="00D65F99"/>
        </w:tc>
        <w:tc>
          <w:tcPr>
            <w:tcW w:w="2590" w:type="dxa"/>
          </w:tcPr>
          <w:p w14:paraId="18435620" w14:textId="77777777" w:rsidR="00D65F99" w:rsidRDefault="00D65F99"/>
        </w:tc>
      </w:tr>
    </w:tbl>
    <w:p w14:paraId="34F88C8E" w14:textId="77777777" w:rsidR="00312E8B" w:rsidRDefault="005B0C42"/>
    <w:sectPr w:rsidR="00312E8B" w:rsidSect="00D65F99">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2FB446" w14:textId="77777777" w:rsidR="005B0C42" w:rsidRDefault="005B0C42" w:rsidP="007D6378">
      <w:r>
        <w:separator/>
      </w:r>
    </w:p>
  </w:endnote>
  <w:endnote w:type="continuationSeparator" w:id="0">
    <w:p w14:paraId="511DCF64" w14:textId="77777777" w:rsidR="005B0C42" w:rsidRDefault="005B0C42" w:rsidP="007D6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1A2FD" w14:textId="77777777" w:rsidR="005B0C42" w:rsidRDefault="005B0C42" w:rsidP="007D6378">
      <w:r>
        <w:separator/>
      </w:r>
    </w:p>
  </w:footnote>
  <w:footnote w:type="continuationSeparator" w:id="0">
    <w:p w14:paraId="2DCFC071" w14:textId="77777777" w:rsidR="005B0C42" w:rsidRDefault="005B0C42" w:rsidP="007D63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8DB8C9" w14:textId="40F6CE71" w:rsidR="007D6378" w:rsidRDefault="007D6378">
    <w:pPr>
      <w:pStyle w:val="Header"/>
    </w:pPr>
    <w:r w:rsidRPr="007D6378">
      <w:t>Managing risk and tensions in WIL- Lit review.docx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B1CFD"/>
    <w:multiLevelType w:val="hybridMultilevel"/>
    <w:tmpl w:val="81541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320424"/>
    <w:multiLevelType w:val="hybridMultilevel"/>
    <w:tmpl w:val="0FE4DC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97544D"/>
    <w:multiLevelType w:val="hybridMultilevel"/>
    <w:tmpl w:val="39A86CF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365BD2"/>
    <w:multiLevelType w:val="hybridMultilevel"/>
    <w:tmpl w:val="AEBE1F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F99"/>
    <w:rsid w:val="001F223D"/>
    <w:rsid w:val="004761FC"/>
    <w:rsid w:val="005B0C42"/>
    <w:rsid w:val="007D6378"/>
    <w:rsid w:val="0087393C"/>
    <w:rsid w:val="00B7049D"/>
    <w:rsid w:val="00BA3BDD"/>
    <w:rsid w:val="00D65F99"/>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BA897E"/>
  <w14:defaultImageDpi w14:val="32767"/>
  <w15:chartTrackingRefBased/>
  <w15:docId w15:val="{1939FFD3-FF70-F54A-9CD3-EF1BB7F56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5F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5F99"/>
    <w:pPr>
      <w:ind w:left="720"/>
      <w:contextualSpacing/>
    </w:pPr>
    <w:rPr>
      <w:rFonts w:eastAsiaTheme="minorHAnsi"/>
    </w:rPr>
  </w:style>
  <w:style w:type="paragraph" w:styleId="Header">
    <w:name w:val="header"/>
    <w:basedOn w:val="Normal"/>
    <w:link w:val="HeaderChar"/>
    <w:uiPriority w:val="99"/>
    <w:unhideWhenUsed/>
    <w:rsid w:val="007D6378"/>
    <w:pPr>
      <w:tabs>
        <w:tab w:val="center" w:pos="4680"/>
        <w:tab w:val="right" w:pos="9360"/>
      </w:tabs>
    </w:pPr>
  </w:style>
  <w:style w:type="character" w:customStyle="1" w:styleId="HeaderChar">
    <w:name w:val="Header Char"/>
    <w:basedOn w:val="DefaultParagraphFont"/>
    <w:link w:val="Header"/>
    <w:uiPriority w:val="99"/>
    <w:rsid w:val="007D6378"/>
    <w:rPr>
      <w:rFonts w:eastAsiaTheme="minorEastAsia"/>
    </w:rPr>
  </w:style>
  <w:style w:type="paragraph" w:styleId="Footer">
    <w:name w:val="footer"/>
    <w:basedOn w:val="Normal"/>
    <w:link w:val="FooterChar"/>
    <w:uiPriority w:val="99"/>
    <w:unhideWhenUsed/>
    <w:rsid w:val="007D6378"/>
    <w:pPr>
      <w:tabs>
        <w:tab w:val="center" w:pos="4680"/>
        <w:tab w:val="right" w:pos="9360"/>
      </w:tabs>
    </w:pPr>
  </w:style>
  <w:style w:type="character" w:customStyle="1" w:styleId="FooterChar">
    <w:name w:val="Footer Char"/>
    <w:basedOn w:val="DefaultParagraphFont"/>
    <w:link w:val="Footer"/>
    <w:uiPriority w:val="99"/>
    <w:rsid w:val="007D637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903</Words>
  <Characters>5153</Characters>
  <Application>Microsoft Office Word</Application>
  <DocSecurity>0</DocSecurity>
  <Lines>42</Lines>
  <Paragraphs>12</Paragraphs>
  <ScaleCrop>false</ScaleCrop>
  <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2020-10-18T23:01:00Z</dcterms:created>
  <dcterms:modified xsi:type="dcterms:W3CDTF">2020-10-18T23:11:00Z</dcterms:modified>
</cp:coreProperties>
</file>